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ind w:right="-333" w:rightChars="-104"/>
        <w:jc w:val="center"/>
        <w:rPr>
          <w:rFonts w:hint="eastAsia" w:ascii="方正小标宋简体" w:eastAsia="方正小标宋简体"/>
          <w:sz w:val="44"/>
          <w:szCs w:val="44"/>
        </w:rPr>
      </w:pPr>
    </w:p>
    <w:p>
      <w:pPr>
        <w:adjustRightInd w:val="0"/>
        <w:snapToGrid w:val="0"/>
        <w:spacing w:line="600" w:lineRule="exact"/>
        <w:ind w:right="-333" w:rightChars="-104"/>
        <w:jc w:val="center"/>
        <w:rPr>
          <w:rFonts w:hint="eastAsia" w:ascii="方正小标宋简体" w:hAnsi="Times New Roman" w:eastAsia="方正小标宋简体" w:cs="Times New Roman"/>
          <w:sz w:val="44"/>
          <w:szCs w:val="44"/>
          <w:lang w:eastAsia="zh-CN"/>
        </w:rPr>
      </w:pPr>
      <w:r>
        <w:rPr>
          <w:rFonts w:hint="eastAsia" w:ascii="方正小标宋简体" w:eastAsia="方正小标宋简体" w:cs="Times New Roman"/>
          <w:sz w:val="44"/>
          <w:szCs w:val="44"/>
          <w:lang w:eastAsia="zh-CN"/>
        </w:rPr>
        <w:t>广西建筑材料工业技工学校</w:t>
      </w:r>
    </w:p>
    <w:p>
      <w:pPr>
        <w:adjustRightInd w:val="0"/>
        <w:snapToGrid w:val="0"/>
        <w:spacing w:line="600" w:lineRule="exact"/>
        <w:ind w:right="-333" w:rightChars="-104"/>
        <w:jc w:val="center"/>
        <w:rPr>
          <w:rFonts w:hint="eastAsia" w:eastAsia="方正小标宋简体"/>
          <w:lang w:eastAsia="zh-CN"/>
        </w:rPr>
      </w:pPr>
      <w:r>
        <w:rPr>
          <w:rFonts w:hint="eastAsia" w:ascii="方正小标宋简体" w:eastAsia="方正小标宋简体"/>
          <w:sz w:val="44"/>
          <w:szCs w:val="44"/>
        </w:rPr>
        <w:t>202</w:t>
      </w:r>
      <w:r>
        <w:rPr>
          <w:rFonts w:hint="eastAsia" w:ascii="方正小标宋简体" w:eastAsia="方正小标宋简体"/>
          <w:sz w:val="44"/>
          <w:szCs w:val="44"/>
          <w:lang w:val="en-US" w:eastAsia="zh-CN"/>
        </w:rPr>
        <w:t>4</w:t>
      </w:r>
      <w:r>
        <w:rPr>
          <w:rFonts w:hint="eastAsia" w:ascii="方正小标宋简体" w:eastAsia="方正小标宋简体"/>
          <w:sz w:val="44"/>
          <w:szCs w:val="44"/>
        </w:rPr>
        <w:t>年单位预算公开</w:t>
      </w:r>
    </w:p>
    <w:p>
      <w:pPr>
        <w:pStyle w:val="7"/>
        <w:rPr>
          <w:rFonts w:hint="eastAsia"/>
        </w:rPr>
      </w:pPr>
    </w:p>
    <w:p>
      <w:pPr>
        <w:adjustRightInd w:val="0"/>
        <w:snapToGrid w:val="0"/>
        <w:spacing w:line="600" w:lineRule="exact"/>
        <w:ind w:right="-333" w:rightChars="-104"/>
        <w:jc w:val="center"/>
        <w:rPr>
          <w:rFonts w:hint="eastAsia" w:ascii="黑体" w:hAnsi="宋体" w:eastAsia="黑体"/>
          <w:bCs/>
          <w:szCs w:val="32"/>
        </w:rPr>
      </w:pPr>
    </w:p>
    <w:p>
      <w:pPr>
        <w:adjustRightInd w:val="0"/>
        <w:snapToGrid w:val="0"/>
        <w:spacing w:line="600" w:lineRule="exact"/>
        <w:ind w:right="-333" w:rightChars="-104"/>
        <w:jc w:val="center"/>
        <w:rPr>
          <w:rFonts w:hint="eastAsia" w:ascii="黑体" w:hAnsi="宋体" w:eastAsia="黑体"/>
          <w:bCs/>
          <w:szCs w:val="32"/>
        </w:rPr>
      </w:pPr>
      <w:r>
        <w:rPr>
          <w:rFonts w:hint="eastAsia" w:ascii="黑体" w:hAnsi="宋体" w:eastAsia="黑体"/>
          <w:bCs/>
          <w:szCs w:val="32"/>
        </w:rPr>
        <w:t>目  录</w:t>
      </w:r>
    </w:p>
    <w:p>
      <w:pPr>
        <w:pStyle w:val="7"/>
        <w:rPr>
          <w:rFonts w:hint="eastAsia"/>
        </w:rPr>
      </w:pPr>
    </w:p>
    <w:p>
      <w:pPr>
        <w:adjustRightInd w:val="0"/>
        <w:snapToGrid w:val="0"/>
        <w:spacing w:line="600" w:lineRule="exact"/>
        <w:ind w:right="-333" w:rightChars="-104"/>
        <w:rPr>
          <w:rFonts w:hint="eastAsia" w:ascii="黑体" w:hAnsi="宋体" w:eastAsia="黑体" w:cs="黑体"/>
          <w:i w:val="0"/>
          <w:iCs w:val="0"/>
          <w:caps w:val="0"/>
          <w:color w:val="525353"/>
          <w:spacing w:val="0"/>
          <w:kern w:val="0"/>
          <w:sz w:val="32"/>
          <w:szCs w:val="32"/>
          <w:shd w:val="clear" w:color="auto" w:fill="FFFFFF"/>
          <w:lang w:val="en-US" w:eastAsia="zh-CN" w:bidi="ar"/>
        </w:rPr>
      </w:pPr>
      <w:r>
        <w:rPr>
          <w:rFonts w:hint="eastAsia" w:ascii="黑体" w:hAnsi="宋体" w:eastAsia="黑体"/>
          <w:bCs/>
          <w:sz w:val="32"/>
          <w:szCs w:val="32"/>
        </w:rPr>
        <w:t>第一部分：</w:t>
      </w:r>
      <w:r>
        <w:rPr>
          <w:rFonts w:hint="eastAsia" w:ascii="黑体" w:hAnsi="宋体" w:eastAsia="黑体"/>
          <w:szCs w:val="32"/>
          <w:lang w:val="en-US" w:eastAsia="zh-CN"/>
        </w:rPr>
        <w:t>单位概况</w:t>
      </w:r>
    </w:p>
    <w:p>
      <w:pPr>
        <w:adjustRightInd w:val="0"/>
        <w:snapToGrid w:val="0"/>
        <w:spacing w:line="600" w:lineRule="exact"/>
        <w:ind w:right="-333" w:rightChars="-104"/>
        <w:rPr>
          <w:rFonts w:hint="eastAsia" w:ascii="黑体" w:hAnsi="宋体" w:eastAsia="黑体" w:cs="黑体"/>
          <w:i w:val="0"/>
          <w:iCs w:val="0"/>
          <w:caps w:val="0"/>
          <w:color w:val="525353"/>
          <w:spacing w:val="0"/>
          <w:kern w:val="0"/>
          <w:sz w:val="32"/>
          <w:szCs w:val="32"/>
          <w:shd w:val="clear" w:color="auto" w:fill="FFFFFF"/>
          <w:lang w:val="en-US" w:eastAsia="zh-CN" w:bidi="ar"/>
        </w:rPr>
      </w:pPr>
    </w:p>
    <w:p>
      <w:pPr>
        <w:adjustRightInd w:val="0"/>
        <w:snapToGrid w:val="0"/>
        <w:spacing w:line="600" w:lineRule="exact"/>
        <w:ind w:left="1600" w:right="-333" w:rightChars="-104" w:hanging="1600" w:hangingChars="500"/>
        <w:rPr>
          <w:rFonts w:hint="eastAsia" w:ascii="黑体" w:eastAsia="黑体"/>
          <w:szCs w:val="32"/>
        </w:rPr>
      </w:pPr>
      <w:r>
        <w:rPr>
          <w:rFonts w:hint="eastAsia" w:ascii="黑体" w:eastAsia="黑体"/>
          <w:szCs w:val="32"/>
        </w:rPr>
        <w:t>第二部分：</w:t>
      </w:r>
      <w:r>
        <w:rPr>
          <w:rFonts w:hint="eastAsia" w:ascii="黑体" w:hAnsi="宋体" w:eastAsia="黑体"/>
          <w:szCs w:val="32"/>
          <w:lang w:eastAsia="zh-CN"/>
        </w:rPr>
        <w:t>广西建筑材料工业技工学校</w:t>
      </w:r>
      <w:r>
        <w:rPr>
          <w:rFonts w:hint="eastAsia" w:ascii="黑体" w:hAnsi="宋体" w:eastAsia="黑体"/>
          <w:szCs w:val="32"/>
        </w:rPr>
        <w:t>202</w:t>
      </w:r>
      <w:r>
        <w:rPr>
          <w:rFonts w:hint="eastAsia" w:ascii="黑体" w:hAnsi="宋体" w:eastAsia="黑体"/>
          <w:szCs w:val="32"/>
          <w:lang w:val="en-US" w:eastAsia="zh-CN"/>
        </w:rPr>
        <w:t>4</w:t>
      </w:r>
      <w:r>
        <w:rPr>
          <w:rFonts w:hint="eastAsia" w:ascii="黑体" w:hAnsi="宋体" w:eastAsia="黑体"/>
          <w:szCs w:val="32"/>
        </w:rPr>
        <w:t>年</w:t>
      </w:r>
      <w:r>
        <w:rPr>
          <w:rFonts w:hint="eastAsia" w:ascii="黑体" w:eastAsia="黑体"/>
          <w:szCs w:val="32"/>
        </w:rPr>
        <w:t>单位预算情况说明</w:t>
      </w:r>
    </w:p>
    <w:p>
      <w:pPr>
        <w:adjustRightInd w:val="0"/>
        <w:snapToGrid w:val="0"/>
        <w:spacing w:line="600" w:lineRule="exact"/>
        <w:ind w:right="-333" w:rightChars="-104"/>
        <w:rPr>
          <w:rFonts w:hint="eastAsia" w:ascii="黑体" w:eastAsia="黑体"/>
          <w:szCs w:val="32"/>
        </w:rPr>
      </w:pPr>
    </w:p>
    <w:p>
      <w:pPr>
        <w:adjustRightInd w:val="0"/>
        <w:snapToGrid w:val="0"/>
        <w:spacing w:line="600" w:lineRule="exact"/>
        <w:ind w:right="-333" w:rightChars="-104"/>
        <w:rPr>
          <w:rFonts w:hint="eastAsia" w:ascii="黑体" w:eastAsia="黑体"/>
          <w:szCs w:val="32"/>
        </w:rPr>
      </w:pPr>
      <w:r>
        <w:rPr>
          <w:rFonts w:hint="eastAsia" w:ascii="黑体" w:eastAsia="黑体"/>
          <w:szCs w:val="32"/>
        </w:rPr>
        <w:t>第三部分：名词解释</w:t>
      </w:r>
    </w:p>
    <w:p>
      <w:pPr>
        <w:adjustRightInd w:val="0"/>
        <w:snapToGrid w:val="0"/>
        <w:spacing w:line="600" w:lineRule="exact"/>
        <w:ind w:right="-333" w:rightChars="-104"/>
        <w:rPr>
          <w:rFonts w:hint="eastAsia" w:ascii="黑体" w:eastAsia="黑体"/>
          <w:szCs w:val="32"/>
        </w:rPr>
      </w:pPr>
      <w:bookmarkStart w:id="1" w:name="_GoBack"/>
      <w:bookmarkEnd w:id="1"/>
    </w:p>
    <w:p>
      <w:pPr>
        <w:adjustRightInd w:val="0"/>
        <w:snapToGrid w:val="0"/>
        <w:spacing w:line="560" w:lineRule="exact"/>
        <w:ind w:left="1600" w:right="-333" w:rightChars="-104" w:hanging="1600" w:hangingChars="500"/>
        <w:rPr>
          <w:rFonts w:hint="eastAsia" w:ascii="黑体" w:hAnsi="宋体" w:eastAsia="黑体"/>
          <w:bCs/>
          <w:szCs w:val="32"/>
        </w:rPr>
      </w:pPr>
      <w:r>
        <w:rPr>
          <w:rFonts w:hint="eastAsia" w:ascii="黑体" w:hAnsi="宋体" w:eastAsia="黑体"/>
          <w:bCs/>
          <w:szCs w:val="32"/>
        </w:rPr>
        <w:t>第四部分：</w:t>
      </w:r>
      <w:r>
        <w:rPr>
          <w:rFonts w:hint="eastAsia" w:ascii="黑体" w:hAnsi="宋体" w:eastAsia="黑体"/>
          <w:szCs w:val="32"/>
          <w:lang w:eastAsia="zh-CN"/>
        </w:rPr>
        <w:t>广西建筑材料工业技工学校</w:t>
      </w:r>
      <w:r>
        <w:rPr>
          <w:rFonts w:hint="eastAsia" w:ascii="黑体" w:hAnsi="宋体" w:eastAsia="黑体"/>
          <w:szCs w:val="32"/>
        </w:rPr>
        <w:t>202</w:t>
      </w:r>
      <w:r>
        <w:rPr>
          <w:rFonts w:hint="eastAsia" w:ascii="黑体" w:hAnsi="宋体" w:eastAsia="黑体"/>
          <w:szCs w:val="32"/>
          <w:lang w:val="en-US" w:eastAsia="zh-CN"/>
        </w:rPr>
        <w:t>4</w:t>
      </w:r>
      <w:r>
        <w:rPr>
          <w:rFonts w:hint="eastAsia" w:ascii="黑体" w:hAnsi="宋体" w:eastAsia="黑体"/>
          <w:szCs w:val="32"/>
        </w:rPr>
        <w:t>年</w:t>
      </w:r>
      <w:r>
        <w:rPr>
          <w:rFonts w:hint="eastAsia" w:ascii="黑体" w:eastAsia="黑体"/>
          <w:szCs w:val="32"/>
        </w:rPr>
        <w:t>单位预算公开报表</w:t>
      </w:r>
    </w:p>
    <w:p>
      <w:pPr>
        <w:adjustRightInd w:val="0"/>
        <w:snapToGrid w:val="0"/>
        <w:spacing w:line="600" w:lineRule="exact"/>
        <w:ind w:right="-333" w:rightChars="-104"/>
        <w:rPr>
          <w:rFonts w:hint="eastAsia" w:ascii="黑体" w:hAnsi="宋体" w:eastAsia="黑体"/>
          <w:bCs/>
          <w:szCs w:val="32"/>
        </w:rPr>
      </w:pPr>
    </w:p>
    <w:p>
      <w:pPr>
        <w:adjustRightInd w:val="0"/>
        <w:snapToGrid w:val="0"/>
        <w:spacing w:line="600" w:lineRule="exact"/>
        <w:ind w:right="-333" w:rightChars="-104" w:firstLine="640" w:firstLineChars="200"/>
        <w:rPr>
          <w:rFonts w:hint="eastAsia" w:ascii="黑体" w:hAnsi="宋体" w:eastAsia="黑体"/>
          <w:bCs/>
          <w:szCs w:val="32"/>
        </w:rPr>
      </w:pPr>
    </w:p>
    <w:p>
      <w:pPr>
        <w:adjustRightInd w:val="0"/>
        <w:snapToGrid w:val="0"/>
        <w:spacing w:line="600" w:lineRule="exact"/>
        <w:ind w:right="-333" w:rightChars="-104" w:firstLine="640" w:firstLineChars="200"/>
        <w:rPr>
          <w:rFonts w:hint="eastAsia" w:ascii="黑体" w:hAnsi="宋体" w:eastAsia="黑体"/>
          <w:bCs/>
          <w:szCs w:val="32"/>
        </w:rPr>
      </w:pPr>
    </w:p>
    <w:p>
      <w:pPr>
        <w:adjustRightInd w:val="0"/>
        <w:snapToGrid w:val="0"/>
        <w:spacing w:line="600" w:lineRule="exact"/>
        <w:ind w:right="-333" w:rightChars="-104" w:firstLine="640" w:firstLineChars="200"/>
        <w:rPr>
          <w:rFonts w:hint="eastAsia" w:ascii="黑体" w:hAnsi="宋体" w:eastAsia="黑体"/>
          <w:bCs/>
          <w:szCs w:val="32"/>
        </w:rPr>
      </w:pPr>
    </w:p>
    <w:p>
      <w:pPr>
        <w:adjustRightInd w:val="0"/>
        <w:snapToGrid w:val="0"/>
        <w:spacing w:line="600" w:lineRule="exact"/>
        <w:ind w:right="-333" w:rightChars="-104" w:firstLine="640" w:firstLineChars="200"/>
        <w:rPr>
          <w:rFonts w:hint="eastAsia" w:ascii="黑体" w:hAnsi="宋体" w:eastAsia="黑体"/>
          <w:bCs/>
          <w:szCs w:val="32"/>
        </w:rPr>
      </w:pPr>
    </w:p>
    <w:p>
      <w:pPr>
        <w:adjustRightInd w:val="0"/>
        <w:snapToGrid w:val="0"/>
        <w:spacing w:line="600" w:lineRule="exact"/>
        <w:ind w:right="-333" w:rightChars="-104" w:firstLine="640" w:firstLineChars="200"/>
        <w:rPr>
          <w:rFonts w:hint="eastAsia" w:ascii="黑体" w:hAnsi="宋体" w:eastAsia="黑体"/>
          <w:bCs/>
          <w:szCs w:val="32"/>
        </w:rPr>
      </w:pPr>
    </w:p>
    <w:p>
      <w:pPr>
        <w:adjustRightInd w:val="0"/>
        <w:snapToGrid w:val="0"/>
        <w:spacing w:line="600" w:lineRule="exact"/>
        <w:ind w:right="-333" w:rightChars="-104" w:firstLine="640" w:firstLineChars="200"/>
        <w:rPr>
          <w:rFonts w:hint="eastAsia" w:ascii="黑体" w:hAnsi="宋体" w:eastAsia="黑体"/>
          <w:bCs/>
          <w:szCs w:val="32"/>
        </w:rPr>
      </w:pPr>
    </w:p>
    <w:p>
      <w:pPr>
        <w:keepNext w:val="0"/>
        <w:keepLines w:val="0"/>
        <w:pageBreakBefore w:val="0"/>
        <w:widowControl w:val="0"/>
        <w:kinsoku/>
        <w:wordWrap/>
        <w:overflowPunct/>
        <w:topLinePunct w:val="0"/>
        <w:autoSpaceDE/>
        <w:autoSpaceDN/>
        <w:bidi w:val="0"/>
        <w:adjustRightInd w:val="0"/>
        <w:snapToGrid w:val="0"/>
        <w:spacing w:line="660" w:lineRule="exact"/>
        <w:ind w:right="-333" w:rightChars="-104" w:firstLine="640" w:firstLineChars="200"/>
        <w:textAlignment w:val="auto"/>
        <w:rPr>
          <w:rFonts w:hint="eastAsia" w:ascii="黑体" w:hAnsi="宋体" w:eastAsia="黑体"/>
          <w:bCs/>
          <w:szCs w:val="32"/>
        </w:rPr>
      </w:pPr>
      <w:r>
        <w:rPr>
          <w:rFonts w:hint="eastAsia" w:ascii="黑体" w:hAnsi="宋体" w:eastAsia="黑体"/>
          <w:bCs/>
          <w:szCs w:val="32"/>
        </w:rPr>
        <w:t>第一部分：</w:t>
      </w:r>
      <w:r>
        <w:rPr>
          <w:rFonts w:hint="eastAsia" w:ascii="黑体" w:hAnsi="宋体" w:eastAsia="黑体"/>
          <w:bCs/>
          <w:szCs w:val="32"/>
          <w:lang w:eastAsia="zh-CN"/>
        </w:rPr>
        <w:t>单位</w:t>
      </w:r>
      <w:r>
        <w:rPr>
          <w:rFonts w:hint="eastAsia" w:ascii="黑体" w:hAnsi="宋体" w:eastAsia="黑体"/>
          <w:bCs/>
          <w:szCs w:val="32"/>
        </w:rPr>
        <w:t>概况</w:t>
      </w:r>
    </w:p>
    <w:p>
      <w:pPr>
        <w:keepNext w:val="0"/>
        <w:keepLines w:val="0"/>
        <w:pageBreakBefore w:val="0"/>
        <w:widowControl w:val="0"/>
        <w:kinsoku/>
        <w:wordWrap/>
        <w:overflowPunct/>
        <w:topLinePunct w:val="0"/>
        <w:autoSpaceDE/>
        <w:autoSpaceDN/>
        <w:bidi w:val="0"/>
        <w:adjustRightInd w:val="0"/>
        <w:snapToGrid w:val="0"/>
        <w:spacing w:line="660" w:lineRule="exact"/>
        <w:ind w:right="-333" w:rightChars="-104" w:firstLine="640" w:firstLineChars="200"/>
        <w:textAlignment w:val="auto"/>
        <w:rPr>
          <w:rFonts w:hint="eastAsia" w:ascii="黑体" w:hAnsi="宋体" w:eastAsia="黑体"/>
          <w:szCs w:val="32"/>
        </w:rPr>
      </w:pPr>
      <w:r>
        <w:rPr>
          <w:rFonts w:hint="eastAsia" w:ascii="黑体" w:hAnsi="宋体" w:eastAsia="黑体"/>
          <w:szCs w:val="32"/>
          <w:lang w:eastAsia="zh-CN"/>
        </w:rPr>
        <w:t>一、</w:t>
      </w:r>
      <w:r>
        <w:rPr>
          <w:rFonts w:hint="eastAsia" w:ascii="黑体" w:hAnsi="宋体" w:eastAsia="黑体"/>
          <w:szCs w:val="32"/>
        </w:rPr>
        <w:t>单位主要职能</w:t>
      </w:r>
    </w:p>
    <w:p>
      <w:pPr>
        <w:pStyle w:val="7"/>
        <w:keepNext w:val="0"/>
        <w:keepLines w:val="0"/>
        <w:pageBreakBefore w:val="0"/>
        <w:widowControl w:val="0"/>
        <w:kinsoku/>
        <w:wordWrap/>
        <w:overflowPunct/>
        <w:topLinePunct w:val="0"/>
        <w:autoSpaceDE/>
        <w:autoSpaceDN/>
        <w:bidi w:val="0"/>
        <w:spacing w:line="660" w:lineRule="exact"/>
        <w:ind w:firstLine="640" w:firstLineChars="200"/>
        <w:textAlignment w:val="auto"/>
        <w:rPr>
          <w:rFonts w:hint="eastAsia" w:ascii="仿宋_GB2312" w:hAnsi="宋体" w:eastAsia="仿宋_GB2312" w:cs="Times New Roman"/>
          <w:kern w:val="2"/>
          <w:sz w:val="32"/>
          <w:szCs w:val="32"/>
          <w:highlight w:val="none"/>
          <w:lang w:val="en-US" w:eastAsia="zh-CN" w:bidi="ar-SA"/>
        </w:rPr>
      </w:pPr>
      <w:r>
        <w:rPr>
          <w:rFonts w:hint="eastAsia" w:ascii="仿宋_GB2312" w:hAnsi="宋体" w:eastAsia="仿宋_GB2312" w:cs="Times New Roman"/>
          <w:kern w:val="2"/>
          <w:sz w:val="32"/>
          <w:szCs w:val="32"/>
          <w:highlight w:val="none"/>
          <w:lang w:val="en-US" w:eastAsia="zh-CN" w:bidi="ar-SA"/>
        </w:rPr>
        <w:t>按照《中华人民共和国职业教育法》的有关规定，学校开展中等职业学历教育和职业培训活动，为社会培养职业技能人才。</w:t>
      </w:r>
    </w:p>
    <w:p>
      <w:pPr>
        <w:keepNext w:val="0"/>
        <w:keepLines w:val="0"/>
        <w:pageBreakBefore w:val="0"/>
        <w:widowControl w:val="0"/>
        <w:numPr>
          <w:ilvl w:val="0"/>
          <w:numId w:val="0"/>
        </w:numPr>
        <w:kinsoku/>
        <w:wordWrap/>
        <w:overflowPunct/>
        <w:topLinePunct w:val="0"/>
        <w:autoSpaceDE/>
        <w:autoSpaceDN/>
        <w:bidi w:val="0"/>
        <w:spacing w:line="660" w:lineRule="exact"/>
        <w:ind w:leftChars="200"/>
        <w:textAlignment w:val="auto"/>
        <w:rPr>
          <w:rFonts w:hint="eastAsia"/>
        </w:rPr>
      </w:pPr>
      <w:r>
        <w:rPr>
          <w:rFonts w:hint="eastAsia" w:ascii="黑体" w:hAnsi="宋体" w:eastAsia="黑体"/>
          <w:szCs w:val="32"/>
          <w:lang w:eastAsia="zh-CN"/>
        </w:rPr>
        <w:t>二、</w:t>
      </w:r>
      <w:r>
        <w:rPr>
          <w:rFonts w:hint="eastAsia" w:ascii="黑体" w:hAnsi="宋体" w:eastAsia="黑体"/>
          <w:szCs w:val="32"/>
        </w:rPr>
        <w:t>机构设置情况</w:t>
      </w:r>
    </w:p>
    <w:p>
      <w:pPr>
        <w:pStyle w:val="7"/>
        <w:keepNext w:val="0"/>
        <w:keepLines w:val="0"/>
        <w:pageBreakBefore w:val="0"/>
        <w:widowControl w:val="0"/>
        <w:kinsoku/>
        <w:wordWrap/>
        <w:overflowPunct/>
        <w:topLinePunct w:val="0"/>
        <w:autoSpaceDE/>
        <w:autoSpaceDN/>
        <w:bidi w:val="0"/>
        <w:spacing w:line="660" w:lineRule="exact"/>
        <w:ind w:firstLine="640" w:firstLineChars="200"/>
        <w:textAlignment w:val="auto"/>
        <w:rPr>
          <w:rFonts w:hint="eastAsia" w:ascii="仿宋_GB2312" w:hAnsi="宋体" w:eastAsia="仿宋_GB2312" w:cs="Times New Roman"/>
          <w:kern w:val="2"/>
          <w:sz w:val="32"/>
          <w:szCs w:val="32"/>
          <w:highlight w:val="none"/>
          <w:lang w:val="en-US" w:eastAsia="zh-CN" w:bidi="ar-SA"/>
        </w:rPr>
      </w:pPr>
      <w:r>
        <w:rPr>
          <w:rFonts w:hint="eastAsia" w:cs="Times New Roman"/>
          <w:kern w:val="2"/>
          <w:sz w:val="32"/>
          <w:szCs w:val="32"/>
          <w:highlight w:val="none"/>
          <w:lang w:val="en-US" w:eastAsia="zh-CN" w:bidi="ar-SA"/>
        </w:rPr>
        <w:t>广西建筑材料工业技工学校</w:t>
      </w:r>
      <w:r>
        <w:rPr>
          <w:rFonts w:hint="eastAsia" w:ascii="仿宋_GB2312" w:hAnsi="宋体" w:eastAsia="仿宋_GB2312" w:cs="Times New Roman"/>
          <w:kern w:val="2"/>
          <w:sz w:val="32"/>
          <w:szCs w:val="32"/>
          <w:highlight w:val="none"/>
          <w:lang w:val="en-US" w:eastAsia="zh-CN" w:bidi="ar-SA"/>
        </w:rPr>
        <w:t>共有1个预算单位，单位性质为财政补助事业单位，行政级别为正处级，单位经费保障方式为财政全额拨款，预算管理级次为二级，执行会计制度为《政府会计准则制度》。</w:t>
      </w:r>
    </w:p>
    <w:p>
      <w:pPr>
        <w:pStyle w:val="7"/>
        <w:keepNext w:val="0"/>
        <w:keepLines w:val="0"/>
        <w:pageBreakBefore w:val="0"/>
        <w:widowControl w:val="0"/>
        <w:kinsoku/>
        <w:wordWrap/>
        <w:overflowPunct/>
        <w:topLinePunct w:val="0"/>
        <w:autoSpaceDE/>
        <w:autoSpaceDN/>
        <w:bidi w:val="0"/>
        <w:spacing w:line="660" w:lineRule="exact"/>
        <w:ind w:firstLine="640" w:firstLineChars="200"/>
        <w:textAlignment w:val="auto"/>
        <w:rPr>
          <w:rFonts w:hint="eastAsia" w:ascii="仿宋_GB2312" w:hAnsi="宋体" w:eastAsia="仿宋_GB2312" w:cs="Times New Roman"/>
          <w:kern w:val="2"/>
          <w:sz w:val="32"/>
          <w:szCs w:val="32"/>
          <w:highlight w:val="none"/>
          <w:lang w:val="en-US" w:eastAsia="zh-CN" w:bidi="ar-SA"/>
        </w:rPr>
      </w:pPr>
      <w:r>
        <w:rPr>
          <w:rFonts w:hint="eastAsia" w:ascii="仿宋_GB2312" w:hAnsi="宋体" w:eastAsia="仿宋_GB2312" w:cs="Times New Roman"/>
          <w:kern w:val="2"/>
          <w:sz w:val="32"/>
          <w:szCs w:val="32"/>
          <w:highlight w:val="none"/>
          <w:lang w:val="en-US" w:eastAsia="zh-CN" w:bidi="ar-SA"/>
        </w:rPr>
        <w:t>（一）</w:t>
      </w:r>
      <w:r>
        <w:rPr>
          <w:rFonts w:hint="eastAsia" w:cs="Times New Roman"/>
          <w:kern w:val="2"/>
          <w:sz w:val="32"/>
          <w:szCs w:val="32"/>
          <w:highlight w:val="none"/>
          <w:lang w:val="en-US" w:eastAsia="zh-CN" w:bidi="ar-SA"/>
        </w:rPr>
        <w:t>广西建筑材料工业技工学校</w:t>
      </w:r>
      <w:r>
        <w:rPr>
          <w:rFonts w:hint="eastAsia" w:ascii="仿宋_GB2312" w:hAnsi="宋体" w:eastAsia="仿宋_GB2312" w:cs="Times New Roman"/>
          <w:kern w:val="2"/>
          <w:sz w:val="32"/>
          <w:szCs w:val="32"/>
          <w:highlight w:val="none"/>
          <w:lang w:val="en-US" w:eastAsia="zh-CN" w:bidi="ar-SA"/>
        </w:rPr>
        <w:t>内设机构3大类，共24个部门。</w:t>
      </w:r>
    </w:p>
    <w:p>
      <w:pPr>
        <w:pStyle w:val="7"/>
        <w:keepNext w:val="0"/>
        <w:keepLines w:val="0"/>
        <w:pageBreakBefore w:val="0"/>
        <w:widowControl w:val="0"/>
        <w:kinsoku/>
        <w:wordWrap/>
        <w:overflowPunct/>
        <w:topLinePunct w:val="0"/>
        <w:autoSpaceDE/>
        <w:autoSpaceDN/>
        <w:bidi w:val="0"/>
        <w:spacing w:line="660" w:lineRule="exact"/>
        <w:ind w:firstLine="640" w:firstLineChars="200"/>
        <w:textAlignment w:val="auto"/>
        <w:rPr>
          <w:rFonts w:hint="eastAsia" w:ascii="仿宋_GB2312" w:hAnsi="宋体" w:eastAsia="仿宋_GB2312" w:cs="Times New Roman"/>
          <w:kern w:val="2"/>
          <w:sz w:val="32"/>
          <w:szCs w:val="32"/>
          <w:highlight w:val="none"/>
          <w:lang w:val="en-US" w:eastAsia="zh-CN" w:bidi="ar-SA"/>
        </w:rPr>
      </w:pPr>
      <w:r>
        <w:rPr>
          <w:rFonts w:hint="eastAsia" w:ascii="仿宋_GB2312" w:hAnsi="宋体" w:eastAsia="仿宋_GB2312" w:cs="Times New Roman"/>
          <w:kern w:val="2"/>
          <w:sz w:val="32"/>
          <w:szCs w:val="32"/>
          <w:highlight w:val="none"/>
          <w:lang w:val="en-US" w:eastAsia="zh-CN" w:bidi="ar-SA"/>
        </w:rPr>
        <w:t>1、行政类：办公室、人事科、财务科、总务科、保卫科、学生科、招生办公室、就业办公室、教务科、基建科10个部门。</w:t>
      </w:r>
    </w:p>
    <w:p>
      <w:pPr>
        <w:pStyle w:val="7"/>
        <w:keepNext w:val="0"/>
        <w:keepLines w:val="0"/>
        <w:pageBreakBefore w:val="0"/>
        <w:widowControl w:val="0"/>
        <w:kinsoku/>
        <w:wordWrap/>
        <w:overflowPunct/>
        <w:topLinePunct w:val="0"/>
        <w:autoSpaceDE/>
        <w:autoSpaceDN/>
        <w:bidi w:val="0"/>
        <w:spacing w:line="660" w:lineRule="exact"/>
        <w:ind w:firstLine="640" w:firstLineChars="200"/>
        <w:textAlignment w:val="auto"/>
        <w:rPr>
          <w:rFonts w:hint="eastAsia" w:ascii="仿宋_GB2312" w:hAnsi="宋体" w:eastAsia="仿宋_GB2312" w:cs="Times New Roman"/>
          <w:kern w:val="2"/>
          <w:sz w:val="32"/>
          <w:szCs w:val="32"/>
          <w:highlight w:val="none"/>
          <w:lang w:val="en-US" w:eastAsia="zh-CN" w:bidi="ar-SA"/>
        </w:rPr>
      </w:pPr>
      <w:r>
        <w:rPr>
          <w:rFonts w:hint="eastAsia" w:ascii="仿宋_GB2312" w:hAnsi="宋体" w:eastAsia="仿宋_GB2312" w:cs="Times New Roman"/>
          <w:kern w:val="2"/>
          <w:sz w:val="32"/>
          <w:szCs w:val="32"/>
          <w:highlight w:val="none"/>
          <w:lang w:val="en-US" w:eastAsia="zh-CN" w:bidi="ar-SA"/>
        </w:rPr>
        <w:t>2、党群口：党委办公室、纪检监</w:t>
      </w:r>
      <w:r>
        <w:rPr>
          <w:rFonts w:hint="eastAsia" w:cs="Times New Roman"/>
          <w:kern w:val="2"/>
          <w:sz w:val="32"/>
          <w:szCs w:val="32"/>
          <w:highlight w:val="none"/>
          <w:lang w:val="en-US" w:eastAsia="zh-CN" w:bidi="ar-SA"/>
        </w:rPr>
        <w:t>察</w:t>
      </w:r>
      <w:r>
        <w:rPr>
          <w:rFonts w:hint="eastAsia" w:ascii="仿宋_GB2312" w:hAnsi="宋体" w:eastAsia="仿宋_GB2312" w:cs="Times New Roman"/>
          <w:kern w:val="2"/>
          <w:sz w:val="32"/>
          <w:szCs w:val="32"/>
          <w:highlight w:val="none"/>
          <w:lang w:val="en-US" w:eastAsia="zh-CN" w:bidi="ar-SA"/>
        </w:rPr>
        <w:t>室、团委办公室3个部门。</w:t>
      </w:r>
    </w:p>
    <w:p>
      <w:pPr>
        <w:pStyle w:val="7"/>
        <w:keepNext w:val="0"/>
        <w:keepLines w:val="0"/>
        <w:pageBreakBefore w:val="0"/>
        <w:widowControl w:val="0"/>
        <w:kinsoku/>
        <w:wordWrap/>
        <w:overflowPunct/>
        <w:topLinePunct w:val="0"/>
        <w:autoSpaceDE/>
        <w:autoSpaceDN/>
        <w:bidi w:val="0"/>
        <w:spacing w:line="660" w:lineRule="exact"/>
        <w:ind w:firstLine="640" w:firstLineChars="200"/>
        <w:textAlignment w:val="auto"/>
        <w:rPr>
          <w:rFonts w:hint="eastAsia" w:ascii="仿宋_GB2312" w:hAnsi="宋体" w:eastAsia="仿宋_GB2312" w:cs="Times New Roman"/>
          <w:kern w:val="2"/>
          <w:sz w:val="32"/>
          <w:szCs w:val="32"/>
          <w:highlight w:val="none"/>
          <w:lang w:val="en-US" w:eastAsia="zh-CN" w:bidi="ar-SA"/>
        </w:rPr>
      </w:pPr>
      <w:r>
        <w:rPr>
          <w:rFonts w:hint="eastAsia" w:ascii="仿宋_GB2312" w:hAnsi="宋体" w:eastAsia="仿宋_GB2312" w:cs="Times New Roman"/>
          <w:kern w:val="2"/>
          <w:sz w:val="32"/>
          <w:szCs w:val="32"/>
          <w:highlight w:val="none"/>
          <w:lang w:val="en-US" w:eastAsia="zh-CN" w:bidi="ar-SA"/>
        </w:rPr>
        <w:t>3、教辅类：科研评估科、成人教育与培训中心、信息中心、公共教学部、教学督导室、设有机械交通系、建筑建材系、电子信息系、经济贸易系、旅游教育系、艺术设计系11个部门。</w:t>
      </w:r>
    </w:p>
    <w:p>
      <w:pPr>
        <w:numPr>
          <w:ilvl w:val="0"/>
          <w:numId w:val="0"/>
        </w:numPr>
        <w:tabs>
          <w:tab w:val="center" w:pos="4475"/>
        </w:tabs>
        <w:spacing w:line="600" w:lineRule="exact"/>
        <w:ind w:firstLine="640" w:firstLineChars="200"/>
        <w:rPr>
          <w:rFonts w:hint="eastAsia" w:ascii="黑体" w:eastAsia="黑体"/>
          <w:szCs w:val="32"/>
        </w:rPr>
      </w:pPr>
      <w:r>
        <w:rPr>
          <w:rFonts w:hint="eastAsia" w:ascii="黑体" w:eastAsia="黑体"/>
          <w:szCs w:val="32"/>
        </w:rPr>
        <w:t>第二部分：</w:t>
      </w:r>
      <w:r>
        <w:rPr>
          <w:rFonts w:hint="eastAsia" w:ascii="黑体" w:hAnsi="宋体" w:eastAsia="黑体"/>
          <w:szCs w:val="32"/>
          <w:lang w:eastAsia="zh-CN"/>
        </w:rPr>
        <w:t>广西建筑材料工业技工学校</w:t>
      </w:r>
      <w:r>
        <w:rPr>
          <w:rFonts w:hint="eastAsia" w:ascii="黑体" w:hAnsi="宋体" w:eastAsia="黑体"/>
          <w:szCs w:val="32"/>
        </w:rPr>
        <w:t>202</w:t>
      </w:r>
      <w:r>
        <w:rPr>
          <w:rFonts w:hint="eastAsia" w:ascii="黑体" w:hAnsi="宋体" w:eastAsia="黑体"/>
          <w:szCs w:val="32"/>
          <w:lang w:val="en-US" w:eastAsia="zh-CN"/>
        </w:rPr>
        <w:t>4</w:t>
      </w:r>
      <w:r>
        <w:rPr>
          <w:rFonts w:hint="eastAsia" w:ascii="黑体" w:hAnsi="宋体" w:eastAsia="黑体"/>
          <w:szCs w:val="32"/>
        </w:rPr>
        <w:t>年</w:t>
      </w:r>
      <w:r>
        <w:rPr>
          <w:rFonts w:hint="eastAsia" w:ascii="黑体" w:eastAsia="黑体"/>
          <w:szCs w:val="32"/>
        </w:rPr>
        <w:t>单位预算情况说明</w:t>
      </w:r>
    </w:p>
    <w:p>
      <w:pPr>
        <w:numPr>
          <w:ilvl w:val="0"/>
          <w:numId w:val="1"/>
        </w:numPr>
        <w:tabs>
          <w:tab w:val="center" w:pos="4475"/>
        </w:tabs>
        <w:spacing w:line="600" w:lineRule="exact"/>
        <w:ind w:firstLine="640" w:firstLineChars="200"/>
        <w:rPr>
          <w:rFonts w:hint="eastAsia" w:ascii="黑体" w:eastAsia="黑体"/>
          <w:szCs w:val="32"/>
        </w:rPr>
      </w:pPr>
      <w:r>
        <w:rPr>
          <w:rFonts w:hint="eastAsia" w:ascii="黑体" w:eastAsia="黑体"/>
          <w:szCs w:val="32"/>
          <w:lang w:val="en-US" w:eastAsia="zh-CN"/>
        </w:rPr>
        <w:t>单位</w:t>
      </w:r>
      <w:r>
        <w:rPr>
          <w:rFonts w:hint="eastAsia" w:ascii="黑体" w:eastAsia="黑体"/>
          <w:szCs w:val="32"/>
        </w:rPr>
        <w:t>收支总体情况说明</w:t>
      </w:r>
    </w:p>
    <w:p>
      <w:pPr>
        <w:pStyle w:val="7"/>
        <w:ind w:firstLine="640" w:firstLineChars="200"/>
        <w:rPr>
          <w:rFonts w:hint="eastAsia" w:ascii="仿宋_GB2312" w:hAnsi="宋体" w:eastAsia="仿宋_GB2312" w:cs="Times New Roman"/>
          <w:kern w:val="2"/>
          <w:sz w:val="32"/>
          <w:szCs w:val="32"/>
          <w:highlight w:val="none"/>
          <w:lang w:val="en-US" w:eastAsia="zh-CN" w:bidi="ar-SA"/>
        </w:rPr>
      </w:pPr>
      <w:r>
        <w:rPr>
          <w:rFonts w:hint="eastAsia" w:ascii="仿宋_GB2312" w:hAnsi="宋体" w:eastAsia="仿宋_GB2312" w:cs="Times New Roman"/>
          <w:kern w:val="2"/>
          <w:sz w:val="32"/>
          <w:szCs w:val="32"/>
          <w:highlight w:val="none"/>
          <w:lang w:val="en-US" w:eastAsia="zh-CN" w:bidi="ar-SA"/>
        </w:rPr>
        <w:t>2024年收入总预算4,815.25万元，同比增加2,066.73万元，增长75.19%，收入预算增加的主要原因是社会培训</w:t>
      </w:r>
      <w:r>
        <w:rPr>
          <w:rFonts w:hint="eastAsia" w:cs="Times New Roman"/>
          <w:kern w:val="2"/>
          <w:sz w:val="32"/>
          <w:szCs w:val="32"/>
          <w:highlight w:val="none"/>
          <w:lang w:val="en-US" w:eastAsia="zh-CN" w:bidi="ar-SA"/>
        </w:rPr>
        <w:t>收入</w:t>
      </w:r>
      <w:r>
        <w:rPr>
          <w:rFonts w:hint="eastAsia" w:ascii="仿宋_GB2312" w:hAnsi="宋体" w:eastAsia="仿宋_GB2312" w:cs="Times New Roman"/>
          <w:kern w:val="2"/>
          <w:sz w:val="32"/>
          <w:szCs w:val="32"/>
          <w:highlight w:val="none"/>
          <w:lang w:val="en-US" w:eastAsia="zh-CN" w:bidi="ar-SA"/>
        </w:rPr>
        <w:t>增加。</w:t>
      </w:r>
    </w:p>
    <w:p>
      <w:pPr>
        <w:pStyle w:val="7"/>
        <w:ind w:firstLine="640" w:firstLineChars="200"/>
        <w:rPr>
          <w:rFonts w:hint="eastAsia" w:ascii="仿宋_GB2312" w:hAnsi="宋体" w:eastAsia="仿宋_GB2312" w:cs="Times New Roman"/>
          <w:kern w:val="2"/>
          <w:sz w:val="32"/>
          <w:szCs w:val="32"/>
          <w:highlight w:val="none"/>
          <w:lang w:val="en-US" w:eastAsia="zh-CN" w:bidi="ar-SA"/>
        </w:rPr>
      </w:pPr>
      <w:r>
        <w:rPr>
          <w:rFonts w:hint="eastAsia" w:ascii="仿宋_GB2312" w:hAnsi="宋体" w:eastAsia="仿宋_GB2312" w:cs="Times New Roman"/>
          <w:kern w:val="2"/>
          <w:sz w:val="32"/>
          <w:szCs w:val="32"/>
          <w:highlight w:val="none"/>
          <w:lang w:val="en-US" w:eastAsia="zh-CN" w:bidi="ar-SA"/>
        </w:rPr>
        <w:t>2024年支出预算4,815.25万元，同比增加2,066.73万元，增长75.19%，支出预算</w:t>
      </w:r>
      <w:r>
        <w:rPr>
          <w:rFonts w:hint="eastAsia" w:cs="Times New Roman"/>
          <w:kern w:val="2"/>
          <w:sz w:val="32"/>
          <w:szCs w:val="32"/>
          <w:highlight w:val="none"/>
          <w:lang w:val="en-US" w:eastAsia="zh-CN" w:bidi="ar-SA"/>
        </w:rPr>
        <w:t>增加</w:t>
      </w:r>
      <w:r>
        <w:rPr>
          <w:rFonts w:hint="eastAsia" w:ascii="仿宋_GB2312" w:hAnsi="宋体" w:eastAsia="仿宋_GB2312" w:cs="Times New Roman"/>
          <w:kern w:val="2"/>
          <w:sz w:val="32"/>
          <w:szCs w:val="32"/>
          <w:highlight w:val="none"/>
          <w:lang w:val="en-US" w:eastAsia="zh-CN" w:bidi="ar-SA"/>
        </w:rPr>
        <w:t>主要原因是社会培训</w:t>
      </w:r>
      <w:r>
        <w:rPr>
          <w:rFonts w:hint="eastAsia" w:cs="Times New Roman"/>
          <w:kern w:val="2"/>
          <w:sz w:val="32"/>
          <w:szCs w:val="32"/>
          <w:highlight w:val="none"/>
          <w:lang w:val="en-US" w:eastAsia="zh-CN" w:bidi="ar-SA"/>
        </w:rPr>
        <w:t>成本</w:t>
      </w:r>
      <w:r>
        <w:rPr>
          <w:rFonts w:hint="eastAsia" w:ascii="仿宋_GB2312" w:hAnsi="宋体" w:eastAsia="仿宋_GB2312" w:cs="Times New Roman"/>
          <w:kern w:val="2"/>
          <w:sz w:val="32"/>
          <w:szCs w:val="32"/>
          <w:highlight w:val="none"/>
          <w:lang w:val="en-US" w:eastAsia="zh-CN" w:bidi="ar-SA"/>
        </w:rPr>
        <w:t>支出</w:t>
      </w:r>
      <w:r>
        <w:rPr>
          <w:rFonts w:hint="eastAsia" w:cs="Times New Roman"/>
          <w:kern w:val="2"/>
          <w:sz w:val="32"/>
          <w:szCs w:val="32"/>
          <w:highlight w:val="none"/>
          <w:lang w:val="en-US" w:eastAsia="zh-CN" w:bidi="ar-SA"/>
        </w:rPr>
        <w:t>增加</w:t>
      </w:r>
      <w:r>
        <w:rPr>
          <w:rFonts w:hint="eastAsia" w:ascii="仿宋_GB2312" w:hAnsi="宋体" w:eastAsia="仿宋_GB2312" w:cs="Times New Roman"/>
          <w:kern w:val="2"/>
          <w:sz w:val="32"/>
          <w:szCs w:val="32"/>
          <w:highlight w:val="none"/>
          <w:lang w:val="en-US" w:eastAsia="zh-CN" w:bidi="ar-SA"/>
        </w:rPr>
        <w:t>。</w:t>
      </w:r>
    </w:p>
    <w:p>
      <w:pPr>
        <w:tabs>
          <w:tab w:val="center" w:pos="4475"/>
        </w:tabs>
        <w:spacing w:line="560" w:lineRule="exact"/>
        <w:ind w:firstLine="640" w:firstLineChars="200"/>
        <w:rPr>
          <w:rFonts w:hint="eastAsia" w:ascii="黑体" w:eastAsia="黑体"/>
          <w:szCs w:val="32"/>
        </w:rPr>
      </w:pPr>
      <w:r>
        <w:rPr>
          <w:rFonts w:hint="eastAsia" w:ascii="黑体" w:eastAsia="黑体"/>
          <w:szCs w:val="32"/>
        </w:rPr>
        <w:t>二、单位收入总体情况说明</w:t>
      </w:r>
    </w:p>
    <w:p>
      <w:pPr>
        <w:pStyle w:val="7"/>
        <w:ind w:firstLine="640" w:firstLineChars="200"/>
        <w:rPr>
          <w:rFonts w:hint="eastAsia" w:ascii="仿宋_GB2312" w:hAnsi="宋体" w:eastAsia="仿宋_GB2312" w:cs="Times New Roman"/>
          <w:kern w:val="2"/>
          <w:sz w:val="32"/>
          <w:szCs w:val="32"/>
          <w:highlight w:val="none"/>
          <w:lang w:val="en-US" w:eastAsia="zh-CN" w:bidi="ar-SA"/>
        </w:rPr>
      </w:pPr>
      <w:r>
        <w:rPr>
          <w:rFonts w:hint="eastAsia" w:ascii="仿宋_GB2312" w:hAnsi="宋体" w:eastAsia="仿宋_GB2312" w:cs="Times New Roman"/>
          <w:kern w:val="2"/>
          <w:sz w:val="32"/>
          <w:szCs w:val="32"/>
          <w:highlight w:val="none"/>
          <w:lang w:val="en-US" w:eastAsia="zh-CN" w:bidi="ar-SA"/>
        </w:rPr>
        <w:t>2024年收入总预算4,815.25万元，同比增加2,066.73万元，增长75.19%。其中：</w:t>
      </w:r>
    </w:p>
    <w:p>
      <w:pPr>
        <w:pStyle w:val="7"/>
        <w:ind w:firstLine="640" w:firstLineChars="200"/>
        <w:rPr>
          <w:rFonts w:hint="eastAsia" w:ascii="仿宋_GB2312" w:hAnsi="宋体" w:eastAsia="仿宋_GB2312" w:cs="Times New Roman"/>
          <w:kern w:val="2"/>
          <w:sz w:val="32"/>
          <w:szCs w:val="32"/>
          <w:highlight w:val="none"/>
          <w:lang w:val="en-US" w:eastAsia="zh-CN" w:bidi="ar-SA"/>
        </w:rPr>
      </w:pPr>
      <w:r>
        <w:rPr>
          <w:rFonts w:hint="eastAsia" w:ascii="仿宋_GB2312" w:hAnsi="宋体" w:eastAsia="仿宋_GB2312" w:cs="Times New Roman"/>
          <w:kern w:val="2"/>
          <w:sz w:val="32"/>
          <w:szCs w:val="32"/>
          <w:highlight w:val="none"/>
          <w:lang w:val="en-US" w:eastAsia="zh-CN" w:bidi="ar-SA"/>
        </w:rPr>
        <w:t>1.一般公共预算收入2,005.25万元，同比减少203.02万元，下降9.19%。</w:t>
      </w:r>
    </w:p>
    <w:p>
      <w:pPr>
        <w:pStyle w:val="7"/>
        <w:ind w:firstLine="640" w:firstLineChars="200"/>
        <w:rPr>
          <w:rFonts w:hint="eastAsia" w:ascii="仿宋_GB2312" w:hAnsi="宋体" w:eastAsia="仿宋_GB2312" w:cs="Times New Roman"/>
          <w:kern w:val="2"/>
          <w:sz w:val="32"/>
          <w:szCs w:val="32"/>
          <w:highlight w:val="none"/>
          <w:lang w:val="en-US" w:eastAsia="zh-CN" w:bidi="ar-SA"/>
        </w:rPr>
      </w:pPr>
      <w:r>
        <w:rPr>
          <w:rFonts w:hint="eastAsia" w:ascii="仿宋_GB2312" w:hAnsi="宋体" w:eastAsia="仿宋_GB2312" w:cs="Times New Roman"/>
          <w:kern w:val="2"/>
          <w:sz w:val="32"/>
          <w:szCs w:val="32"/>
          <w:highlight w:val="none"/>
          <w:lang w:val="en-US" w:eastAsia="zh-CN" w:bidi="ar-SA"/>
        </w:rPr>
        <w:t>2.政府性基金预算收入0万元，与上年预算安排一致。</w:t>
      </w:r>
    </w:p>
    <w:p>
      <w:pPr>
        <w:pStyle w:val="7"/>
        <w:ind w:firstLine="640" w:firstLineChars="200"/>
        <w:rPr>
          <w:rFonts w:hint="eastAsia" w:ascii="仿宋_GB2312" w:hAnsi="宋体" w:eastAsia="仿宋_GB2312" w:cs="Times New Roman"/>
          <w:kern w:val="2"/>
          <w:sz w:val="32"/>
          <w:szCs w:val="32"/>
          <w:highlight w:val="none"/>
          <w:lang w:val="en-US" w:eastAsia="zh-CN" w:bidi="ar-SA"/>
        </w:rPr>
      </w:pPr>
      <w:r>
        <w:rPr>
          <w:rFonts w:hint="eastAsia" w:ascii="仿宋_GB2312" w:hAnsi="宋体" w:eastAsia="仿宋_GB2312" w:cs="Times New Roman"/>
          <w:kern w:val="2"/>
          <w:sz w:val="32"/>
          <w:szCs w:val="32"/>
          <w:highlight w:val="none"/>
          <w:lang w:val="en-US" w:eastAsia="zh-CN" w:bidi="ar-SA"/>
        </w:rPr>
        <w:t>3.国有资本经营预算收入0万元，与上年预算安排一致。</w:t>
      </w:r>
    </w:p>
    <w:p>
      <w:pPr>
        <w:pStyle w:val="7"/>
        <w:ind w:firstLine="640" w:firstLineChars="200"/>
        <w:rPr>
          <w:rFonts w:hint="eastAsia" w:ascii="仿宋_GB2312" w:hAnsi="宋体" w:eastAsia="仿宋_GB2312" w:cs="Times New Roman"/>
          <w:kern w:val="2"/>
          <w:sz w:val="32"/>
          <w:szCs w:val="32"/>
          <w:highlight w:val="none"/>
          <w:lang w:val="en-US" w:eastAsia="zh-CN" w:bidi="ar-SA"/>
        </w:rPr>
      </w:pPr>
      <w:r>
        <w:rPr>
          <w:rFonts w:hint="eastAsia" w:ascii="仿宋_GB2312" w:hAnsi="宋体" w:eastAsia="仿宋_GB2312" w:cs="Times New Roman"/>
          <w:kern w:val="2"/>
          <w:sz w:val="32"/>
          <w:szCs w:val="32"/>
          <w:highlight w:val="none"/>
          <w:lang w:val="en-US" w:eastAsia="zh-CN" w:bidi="ar-SA"/>
        </w:rPr>
        <w:t>4.财政专户管理资金收入2,810万元，同比增加2,269.75万元，增长420.13％。</w:t>
      </w:r>
    </w:p>
    <w:p>
      <w:pPr>
        <w:pStyle w:val="7"/>
        <w:ind w:firstLine="640" w:firstLineChars="200"/>
        <w:rPr>
          <w:rFonts w:hint="eastAsia" w:ascii="仿宋_GB2312" w:hAnsi="宋体" w:eastAsia="仿宋_GB2312" w:cs="Times New Roman"/>
          <w:kern w:val="2"/>
          <w:sz w:val="32"/>
          <w:szCs w:val="32"/>
          <w:highlight w:val="none"/>
          <w:lang w:val="en-US" w:eastAsia="zh-CN" w:bidi="ar-SA"/>
        </w:rPr>
      </w:pPr>
      <w:r>
        <w:rPr>
          <w:rFonts w:hint="eastAsia" w:ascii="仿宋_GB2312" w:hAnsi="宋体" w:eastAsia="仿宋_GB2312" w:cs="Times New Roman"/>
          <w:kern w:val="2"/>
          <w:sz w:val="32"/>
          <w:szCs w:val="32"/>
          <w:highlight w:val="none"/>
          <w:lang w:val="en-US" w:eastAsia="zh-CN" w:bidi="ar-SA"/>
        </w:rPr>
        <w:t>5.单位资金收入0万元，与上年预算安排一致。</w:t>
      </w:r>
    </w:p>
    <w:p>
      <w:pPr>
        <w:pStyle w:val="7"/>
        <w:ind w:firstLine="640" w:firstLineChars="200"/>
        <w:rPr>
          <w:rFonts w:hint="eastAsia" w:ascii="仿宋_GB2312" w:hAnsi="宋体" w:eastAsia="仿宋_GB2312" w:cs="Times New Roman"/>
          <w:kern w:val="2"/>
          <w:sz w:val="32"/>
          <w:szCs w:val="32"/>
          <w:highlight w:val="none"/>
          <w:lang w:val="en-US" w:eastAsia="zh-CN" w:bidi="ar-SA"/>
        </w:rPr>
      </w:pPr>
      <w:r>
        <w:rPr>
          <w:rFonts w:hint="eastAsia" w:ascii="仿宋_GB2312" w:hAnsi="宋体" w:eastAsia="仿宋_GB2312" w:cs="Times New Roman"/>
          <w:kern w:val="2"/>
          <w:sz w:val="32"/>
          <w:szCs w:val="32"/>
          <w:highlight w:val="none"/>
          <w:lang w:val="en-US" w:eastAsia="zh-CN" w:bidi="ar-SA"/>
        </w:rPr>
        <w:t>6.上年结转结余0万元，与上年预算安排一致。</w:t>
      </w:r>
    </w:p>
    <w:p>
      <w:pPr>
        <w:pStyle w:val="7"/>
        <w:ind w:firstLine="640" w:firstLineChars="200"/>
        <w:rPr>
          <w:rFonts w:hint="eastAsia" w:ascii="仿宋_GB2312" w:hAnsi="宋体" w:eastAsia="仿宋_GB2312" w:cs="Times New Roman"/>
          <w:kern w:val="2"/>
          <w:sz w:val="32"/>
          <w:szCs w:val="32"/>
          <w:highlight w:val="none"/>
          <w:lang w:val="en-US" w:eastAsia="zh-CN" w:bidi="ar-SA"/>
        </w:rPr>
      </w:pPr>
      <w:r>
        <w:rPr>
          <w:rFonts w:hint="eastAsia" w:ascii="仿宋_GB2312" w:hAnsi="宋体" w:eastAsia="仿宋_GB2312" w:cs="Times New Roman"/>
          <w:kern w:val="2"/>
          <w:sz w:val="32"/>
          <w:szCs w:val="32"/>
          <w:highlight w:val="none"/>
          <w:lang w:val="en-US" w:eastAsia="zh-CN" w:bidi="ar-SA"/>
        </w:rPr>
        <w:t>收入预算增加的主要原因是社会培训</w:t>
      </w:r>
      <w:r>
        <w:rPr>
          <w:rFonts w:hint="eastAsia" w:cs="Times New Roman"/>
          <w:kern w:val="2"/>
          <w:sz w:val="32"/>
          <w:szCs w:val="32"/>
          <w:highlight w:val="none"/>
          <w:lang w:val="en-US" w:eastAsia="zh-CN" w:bidi="ar-SA"/>
        </w:rPr>
        <w:t>收入</w:t>
      </w:r>
      <w:r>
        <w:rPr>
          <w:rFonts w:hint="eastAsia" w:ascii="仿宋_GB2312" w:hAnsi="宋体" w:eastAsia="仿宋_GB2312" w:cs="Times New Roman"/>
          <w:kern w:val="2"/>
          <w:sz w:val="32"/>
          <w:szCs w:val="32"/>
          <w:highlight w:val="none"/>
          <w:lang w:val="en-US" w:eastAsia="zh-CN" w:bidi="ar-SA"/>
        </w:rPr>
        <w:t>增加。</w:t>
      </w:r>
    </w:p>
    <w:p>
      <w:pPr>
        <w:widowControl w:val="0"/>
        <w:numPr>
          <w:ilvl w:val="0"/>
          <w:numId w:val="0"/>
        </w:numPr>
        <w:tabs>
          <w:tab w:val="center" w:pos="4475"/>
        </w:tabs>
        <w:spacing w:line="600" w:lineRule="exact"/>
        <w:ind w:leftChars="200"/>
        <w:jc w:val="both"/>
        <w:rPr>
          <w:rFonts w:hint="eastAsia" w:ascii="黑体" w:eastAsia="黑体"/>
          <w:szCs w:val="32"/>
        </w:rPr>
      </w:pPr>
      <w:r>
        <w:rPr>
          <w:rFonts w:hint="eastAsia" w:ascii="黑体" w:eastAsia="黑体"/>
          <w:szCs w:val="32"/>
          <w:lang w:eastAsia="zh-CN"/>
        </w:rPr>
        <w:t>三、</w:t>
      </w:r>
      <w:r>
        <w:rPr>
          <w:rFonts w:hint="eastAsia" w:ascii="黑体" w:eastAsia="黑体"/>
          <w:szCs w:val="32"/>
        </w:rPr>
        <w:t>单位支出总体情况说明</w:t>
      </w:r>
    </w:p>
    <w:p>
      <w:pPr>
        <w:pStyle w:val="7"/>
        <w:ind w:firstLine="640" w:firstLineChars="200"/>
        <w:rPr>
          <w:rFonts w:hint="eastAsia" w:ascii="仿宋_GB2312" w:hAnsi="宋体" w:eastAsia="仿宋_GB2312" w:cs="Times New Roman"/>
          <w:kern w:val="2"/>
          <w:sz w:val="32"/>
          <w:szCs w:val="32"/>
          <w:highlight w:val="none"/>
          <w:lang w:val="en-US" w:eastAsia="zh-CN" w:bidi="ar-SA"/>
        </w:rPr>
      </w:pPr>
      <w:r>
        <w:rPr>
          <w:rFonts w:hint="eastAsia" w:ascii="仿宋_GB2312" w:hAnsi="宋体" w:eastAsia="仿宋_GB2312" w:cs="Times New Roman"/>
          <w:kern w:val="2"/>
          <w:sz w:val="32"/>
          <w:szCs w:val="32"/>
          <w:highlight w:val="none"/>
          <w:lang w:val="en-US" w:eastAsia="zh-CN" w:bidi="ar-SA"/>
        </w:rPr>
        <w:t>2024年支出预算4,815.25万元，同比增加2,066.73万元，增长75.19%，其中：</w:t>
      </w:r>
    </w:p>
    <w:p>
      <w:pPr>
        <w:pStyle w:val="7"/>
        <w:ind w:firstLine="640" w:firstLineChars="200"/>
        <w:rPr>
          <w:rFonts w:hint="eastAsia" w:ascii="仿宋_GB2312" w:hAnsi="宋体" w:eastAsia="仿宋_GB2312" w:cs="Times New Roman"/>
          <w:kern w:val="2"/>
          <w:sz w:val="32"/>
          <w:szCs w:val="32"/>
          <w:highlight w:val="none"/>
          <w:lang w:val="en-US" w:eastAsia="zh-CN" w:bidi="ar-SA"/>
        </w:rPr>
      </w:pPr>
      <w:r>
        <w:rPr>
          <w:rFonts w:hint="eastAsia" w:cs="Times New Roman"/>
          <w:kern w:val="2"/>
          <w:sz w:val="32"/>
          <w:szCs w:val="32"/>
          <w:highlight w:val="none"/>
          <w:lang w:val="en-US" w:eastAsia="zh-CN" w:bidi="ar-SA"/>
        </w:rPr>
        <w:t>（一）</w:t>
      </w:r>
      <w:r>
        <w:rPr>
          <w:rFonts w:hint="eastAsia" w:ascii="仿宋_GB2312" w:hAnsi="宋体" w:eastAsia="仿宋_GB2312" w:cs="Times New Roman"/>
          <w:kern w:val="2"/>
          <w:sz w:val="32"/>
          <w:szCs w:val="32"/>
          <w:highlight w:val="none"/>
          <w:lang w:val="en-US" w:eastAsia="zh-CN" w:bidi="ar-SA"/>
        </w:rPr>
        <w:t>按支出功能分类科目划分，共分为四类，其中：</w:t>
      </w:r>
    </w:p>
    <w:p>
      <w:pPr>
        <w:pStyle w:val="7"/>
        <w:ind w:firstLine="640" w:firstLineChars="200"/>
        <w:rPr>
          <w:rFonts w:hint="eastAsia" w:ascii="仿宋_GB2312" w:hAnsi="宋体" w:eastAsia="仿宋_GB2312" w:cs="Times New Roman"/>
          <w:kern w:val="2"/>
          <w:sz w:val="32"/>
          <w:szCs w:val="32"/>
          <w:highlight w:val="none"/>
          <w:lang w:val="en-US" w:eastAsia="zh-CN" w:bidi="ar-SA"/>
        </w:rPr>
      </w:pPr>
      <w:r>
        <w:rPr>
          <w:rFonts w:hint="eastAsia" w:cs="Times New Roman"/>
          <w:kern w:val="2"/>
          <w:sz w:val="32"/>
          <w:szCs w:val="32"/>
          <w:highlight w:val="none"/>
          <w:lang w:val="en-US" w:eastAsia="zh-CN" w:bidi="ar-SA"/>
        </w:rPr>
        <w:t>1.</w:t>
      </w:r>
      <w:r>
        <w:rPr>
          <w:rFonts w:hint="eastAsia" w:ascii="仿宋_GB2312" w:hAnsi="宋体" w:eastAsia="仿宋_GB2312" w:cs="Times New Roman"/>
          <w:kern w:val="2"/>
          <w:sz w:val="32"/>
          <w:szCs w:val="32"/>
          <w:highlight w:val="none"/>
          <w:lang w:val="en-US" w:eastAsia="zh-CN" w:bidi="ar-SA"/>
        </w:rPr>
        <w:t>教育类科目支出4,719.29万元，占支出总预算98.01%，同比增加2,064.08万元，增长77.74%。</w:t>
      </w:r>
    </w:p>
    <w:p>
      <w:pPr>
        <w:pStyle w:val="7"/>
        <w:ind w:firstLine="640" w:firstLineChars="200"/>
        <w:rPr>
          <w:rFonts w:hint="eastAsia" w:ascii="仿宋_GB2312" w:hAnsi="宋体" w:eastAsia="仿宋_GB2312" w:cs="Times New Roman"/>
          <w:kern w:val="2"/>
          <w:sz w:val="32"/>
          <w:szCs w:val="32"/>
          <w:highlight w:val="none"/>
          <w:lang w:val="en-US" w:eastAsia="zh-CN" w:bidi="ar-SA"/>
        </w:rPr>
      </w:pPr>
      <w:r>
        <w:rPr>
          <w:rFonts w:hint="eastAsia" w:cs="Times New Roman"/>
          <w:kern w:val="2"/>
          <w:sz w:val="32"/>
          <w:szCs w:val="32"/>
          <w:highlight w:val="none"/>
          <w:lang w:val="en-US" w:eastAsia="zh-CN" w:bidi="ar-SA"/>
        </w:rPr>
        <w:t>2.</w:t>
      </w:r>
      <w:r>
        <w:rPr>
          <w:rFonts w:hint="eastAsia" w:ascii="仿宋_GB2312" w:hAnsi="宋体" w:eastAsia="仿宋_GB2312" w:cs="Times New Roman"/>
          <w:kern w:val="2"/>
          <w:sz w:val="32"/>
          <w:szCs w:val="32"/>
          <w:highlight w:val="none"/>
          <w:lang w:val="en-US" w:eastAsia="zh-CN" w:bidi="ar-SA"/>
        </w:rPr>
        <w:t>社会保障和就业类科目支出53.07万元，占支出总预算1.10%，同比增加1.47万元，增长2.85%。</w:t>
      </w:r>
    </w:p>
    <w:p>
      <w:pPr>
        <w:pStyle w:val="7"/>
        <w:ind w:firstLine="640" w:firstLineChars="200"/>
        <w:rPr>
          <w:rFonts w:hint="eastAsia" w:ascii="仿宋_GB2312" w:hAnsi="宋体" w:eastAsia="仿宋_GB2312" w:cs="Times New Roman"/>
          <w:kern w:val="2"/>
          <w:sz w:val="32"/>
          <w:szCs w:val="32"/>
          <w:highlight w:val="none"/>
          <w:lang w:val="en-US" w:eastAsia="zh-CN" w:bidi="ar-SA"/>
        </w:rPr>
      </w:pPr>
      <w:r>
        <w:rPr>
          <w:rFonts w:hint="eastAsia" w:cs="Times New Roman"/>
          <w:kern w:val="2"/>
          <w:sz w:val="32"/>
          <w:szCs w:val="32"/>
          <w:highlight w:val="none"/>
          <w:lang w:val="en-US" w:eastAsia="zh-CN" w:bidi="ar-SA"/>
        </w:rPr>
        <w:t>3.</w:t>
      </w:r>
      <w:r>
        <w:rPr>
          <w:rFonts w:hint="eastAsia" w:ascii="仿宋_GB2312" w:hAnsi="宋体" w:eastAsia="仿宋_GB2312" w:cs="Times New Roman"/>
          <w:kern w:val="2"/>
          <w:sz w:val="32"/>
          <w:szCs w:val="32"/>
          <w:highlight w:val="none"/>
          <w:lang w:val="en-US" w:eastAsia="zh-CN" w:bidi="ar-SA"/>
        </w:rPr>
        <w:t>卫生健康类科目支出16.36万元，占支出总预算0.34%，同比增加0.45万元，增长2.83%。</w:t>
      </w:r>
    </w:p>
    <w:p>
      <w:pPr>
        <w:pStyle w:val="7"/>
        <w:ind w:firstLine="640" w:firstLineChars="200"/>
        <w:rPr>
          <w:rFonts w:hint="eastAsia" w:ascii="仿宋_GB2312" w:hAnsi="宋体" w:eastAsia="仿宋_GB2312" w:cs="Times New Roman"/>
          <w:kern w:val="2"/>
          <w:sz w:val="32"/>
          <w:szCs w:val="32"/>
          <w:highlight w:val="none"/>
          <w:lang w:val="en-US" w:eastAsia="zh-CN" w:bidi="ar-SA"/>
        </w:rPr>
      </w:pPr>
      <w:r>
        <w:rPr>
          <w:rFonts w:hint="eastAsia" w:cs="Times New Roman"/>
          <w:kern w:val="2"/>
          <w:sz w:val="32"/>
          <w:szCs w:val="32"/>
          <w:highlight w:val="none"/>
          <w:lang w:val="en-US" w:eastAsia="zh-CN" w:bidi="ar-SA"/>
        </w:rPr>
        <w:t>4.</w:t>
      </w:r>
      <w:r>
        <w:rPr>
          <w:rFonts w:hint="eastAsia" w:ascii="仿宋_GB2312" w:hAnsi="宋体" w:eastAsia="仿宋_GB2312" w:cs="Times New Roman"/>
          <w:kern w:val="2"/>
          <w:sz w:val="32"/>
          <w:szCs w:val="32"/>
          <w:highlight w:val="none"/>
          <w:lang w:val="en-US" w:eastAsia="zh-CN" w:bidi="ar-SA"/>
        </w:rPr>
        <w:t>住房保障类支出26.53万元，占支出总预算0.55%，同比增加0.73</w:t>
      </w:r>
      <w:r>
        <w:rPr>
          <w:rFonts w:hint="eastAsia" w:cs="Times New Roman"/>
          <w:kern w:val="2"/>
          <w:sz w:val="32"/>
          <w:szCs w:val="32"/>
          <w:highlight w:val="none"/>
          <w:lang w:val="en-US" w:eastAsia="zh-CN" w:bidi="ar-SA"/>
        </w:rPr>
        <w:t>万</w:t>
      </w:r>
      <w:r>
        <w:rPr>
          <w:rFonts w:hint="eastAsia" w:ascii="仿宋_GB2312" w:hAnsi="宋体" w:eastAsia="仿宋_GB2312" w:cs="Times New Roman"/>
          <w:kern w:val="2"/>
          <w:sz w:val="32"/>
          <w:szCs w:val="32"/>
          <w:highlight w:val="none"/>
          <w:lang w:val="en-US" w:eastAsia="zh-CN" w:bidi="ar-SA"/>
        </w:rPr>
        <w:t>元，增长2.83%。</w:t>
      </w:r>
    </w:p>
    <w:p>
      <w:pPr>
        <w:pStyle w:val="7"/>
        <w:ind w:firstLine="640" w:firstLineChars="200"/>
        <w:rPr>
          <w:rFonts w:hint="eastAsia" w:ascii="仿宋_GB2312" w:hAnsi="宋体" w:eastAsia="仿宋_GB2312" w:cs="Times New Roman"/>
          <w:kern w:val="2"/>
          <w:sz w:val="32"/>
          <w:szCs w:val="32"/>
          <w:highlight w:val="none"/>
          <w:lang w:val="en-US" w:eastAsia="zh-CN" w:bidi="ar-SA"/>
        </w:rPr>
      </w:pPr>
      <w:r>
        <w:rPr>
          <w:rFonts w:hint="eastAsia" w:cs="Times New Roman"/>
          <w:kern w:val="2"/>
          <w:sz w:val="32"/>
          <w:szCs w:val="32"/>
          <w:highlight w:val="none"/>
          <w:lang w:val="en-US" w:eastAsia="zh-CN" w:bidi="ar-SA"/>
        </w:rPr>
        <w:t>（二）</w:t>
      </w:r>
      <w:r>
        <w:rPr>
          <w:rFonts w:hint="eastAsia" w:ascii="仿宋_GB2312" w:hAnsi="宋体" w:eastAsia="仿宋_GB2312" w:cs="Times New Roman"/>
          <w:kern w:val="2"/>
          <w:sz w:val="32"/>
          <w:szCs w:val="32"/>
          <w:highlight w:val="none"/>
          <w:lang w:val="en-US" w:eastAsia="zh-CN" w:bidi="ar-SA"/>
        </w:rPr>
        <w:t>按支出结构分类划分，分为基本支出预算和项目支出预算。</w:t>
      </w:r>
    </w:p>
    <w:p>
      <w:pPr>
        <w:pStyle w:val="7"/>
        <w:ind w:firstLine="640" w:firstLineChars="200"/>
        <w:rPr>
          <w:rFonts w:hint="eastAsia" w:ascii="仿宋_GB2312" w:hAnsi="宋体" w:eastAsia="仿宋_GB2312" w:cs="Times New Roman"/>
          <w:kern w:val="2"/>
          <w:sz w:val="32"/>
          <w:szCs w:val="32"/>
          <w:highlight w:val="none"/>
          <w:lang w:val="en-US" w:eastAsia="zh-CN" w:bidi="ar-SA"/>
        </w:rPr>
      </w:pPr>
      <w:r>
        <w:rPr>
          <w:rFonts w:hint="eastAsia" w:cs="Times New Roman"/>
          <w:kern w:val="2"/>
          <w:sz w:val="32"/>
          <w:szCs w:val="32"/>
          <w:highlight w:val="none"/>
          <w:lang w:val="en-US" w:eastAsia="zh-CN" w:bidi="ar-SA"/>
        </w:rPr>
        <w:t>1.</w:t>
      </w:r>
      <w:r>
        <w:rPr>
          <w:rFonts w:hint="eastAsia" w:ascii="仿宋_GB2312" w:hAnsi="宋体" w:eastAsia="仿宋_GB2312" w:cs="Times New Roman"/>
          <w:kern w:val="2"/>
          <w:sz w:val="32"/>
          <w:szCs w:val="32"/>
          <w:highlight w:val="none"/>
          <w:lang w:val="en-US" w:eastAsia="zh-CN" w:bidi="ar-SA"/>
        </w:rPr>
        <w:t>基本支出预算。</w:t>
      </w:r>
    </w:p>
    <w:p>
      <w:pPr>
        <w:pStyle w:val="7"/>
        <w:ind w:firstLine="640" w:firstLineChars="200"/>
        <w:rPr>
          <w:rFonts w:hint="eastAsia" w:ascii="仿宋_GB2312" w:hAnsi="宋体" w:eastAsia="仿宋_GB2312" w:cs="Times New Roman"/>
          <w:kern w:val="2"/>
          <w:sz w:val="32"/>
          <w:szCs w:val="32"/>
          <w:highlight w:val="none"/>
          <w:lang w:val="en-US" w:eastAsia="zh-CN" w:bidi="ar-SA"/>
        </w:rPr>
      </w:pPr>
      <w:r>
        <w:rPr>
          <w:rFonts w:hint="eastAsia" w:ascii="仿宋_GB2312" w:hAnsi="宋体" w:eastAsia="仿宋_GB2312" w:cs="Times New Roman"/>
          <w:kern w:val="2"/>
          <w:sz w:val="32"/>
          <w:szCs w:val="32"/>
          <w:highlight w:val="none"/>
          <w:lang w:val="en-US" w:eastAsia="zh-CN" w:bidi="ar-SA"/>
        </w:rPr>
        <w:t>基本支出预算1,149.54万元，占支出总预算23.87%，同比减少53.83万元，下降4.47%。其中：</w:t>
      </w:r>
    </w:p>
    <w:p>
      <w:pPr>
        <w:pStyle w:val="7"/>
        <w:ind w:firstLine="640" w:firstLineChars="200"/>
        <w:rPr>
          <w:rFonts w:hint="eastAsia" w:ascii="仿宋_GB2312" w:hAnsi="宋体" w:eastAsia="仿宋_GB2312" w:cs="Times New Roman"/>
          <w:kern w:val="2"/>
          <w:sz w:val="32"/>
          <w:szCs w:val="32"/>
          <w:highlight w:val="none"/>
          <w:lang w:val="en-US" w:eastAsia="zh-CN" w:bidi="ar-SA"/>
        </w:rPr>
      </w:pPr>
      <w:r>
        <w:rPr>
          <w:rFonts w:hint="eastAsia" w:ascii="仿宋_GB2312" w:hAnsi="宋体" w:eastAsia="仿宋_GB2312" w:cs="Times New Roman"/>
          <w:kern w:val="2"/>
          <w:sz w:val="32"/>
          <w:szCs w:val="32"/>
          <w:highlight w:val="none"/>
          <w:lang w:val="en-US" w:eastAsia="zh-CN" w:bidi="ar-SA"/>
        </w:rPr>
        <w:t>人员经费预算493.27万元，占基本支出预算42.91%，同比增加12万元，增长2.49%。其中：工资福利支出预算328.18万元，占基本支出预算28.55%，同比增加8.82万元，增长2.76%；对个人和家庭的补助预算165.09万元，占基本支出预算14.36%，同比增加3.18万元，增长1.96%。</w:t>
      </w:r>
    </w:p>
    <w:p>
      <w:pPr>
        <w:pStyle w:val="7"/>
        <w:ind w:firstLine="640" w:firstLineChars="200"/>
        <w:rPr>
          <w:rFonts w:hint="eastAsia" w:ascii="仿宋_GB2312" w:hAnsi="宋体" w:eastAsia="仿宋_GB2312" w:cs="Times New Roman"/>
          <w:kern w:val="2"/>
          <w:sz w:val="32"/>
          <w:szCs w:val="32"/>
          <w:highlight w:val="none"/>
          <w:lang w:val="en-US" w:eastAsia="zh-CN" w:bidi="ar-SA"/>
        </w:rPr>
      </w:pPr>
      <w:r>
        <w:rPr>
          <w:rFonts w:hint="eastAsia" w:ascii="仿宋_GB2312" w:hAnsi="宋体" w:eastAsia="仿宋_GB2312" w:cs="Times New Roman"/>
          <w:kern w:val="2"/>
          <w:sz w:val="32"/>
          <w:szCs w:val="32"/>
          <w:highlight w:val="none"/>
          <w:lang w:val="en-US" w:eastAsia="zh-CN" w:bidi="ar-SA"/>
        </w:rPr>
        <w:t>商品和服务支出预算656.27万元，占基本支出预算57.09%，同比减少65.83万元，下降9.12 %。其中：其他商品和服务支出科目预算179.80万元，占公用经费预算27.40％，用于支付学术经费30万元、学校各部门信息系统维护服务费20万元、招生宣传费用80万元、校园垃圾清理费用10万元、离退休公用经费3.84万元、伙食补助费用15.20万元其他费用20.76万元。</w:t>
      </w:r>
    </w:p>
    <w:p>
      <w:pPr>
        <w:pStyle w:val="7"/>
        <w:ind w:firstLine="640" w:firstLineChars="200"/>
        <w:rPr>
          <w:rFonts w:hint="eastAsia" w:ascii="仿宋_GB2312" w:hAnsi="宋体" w:eastAsia="仿宋_GB2312" w:cs="Times New Roman"/>
          <w:kern w:val="2"/>
          <w:sz w:val="32"/>
          <w:szCs w:val="32"/>
          <w:highlight w:val="none"/>
          <w:lang w:val="en-US" w:eastAsia="zh-CN" w:bidi="ar-SA"/>
        </w:rPr>
      </w:pPr>
      <w:r>
        <w:rPr>
          <w:rFonts w:hint="eastAsia" w:ascii="仿宋_GB2312" w:hAnsi="宋体" w:eastAsia="仿宋_GB2312" w:cs="Times New Roman"/>
          <w:kern w:val="2"/>
          <w:sz w:val="32"/>
          <w:szCs w:val="32"/>
          <w:highlight w:val="none"/>
          <w:lang w:val="en-US" w:eastAsia="zh-CN" w:bidi="ar-SA"/>
        </w:rPr>
        <w:t>基本支出预算减少的主要原因是学生人数减少</w:t>
      </w:r>
      <w:r>
        <w:rPr>
          <w:rFonts w:hint="eastAsia" w:cs="Times New Roman"/>
          <w:kern w:val="2"/>
          <w:sz w:val="32"/>
          <w:szCs w:val="32"/>
          <w:highlight w:val="none"/>
          <w:lang w:val="en-US" w:eastAsia="zh-CN" w:bidi="ar-SA"/>
        </w:rPr>
        <w:t>，导致生均经费拨款减少</w:t>
      </w:r>
      <w:r>
        <w:rPr>
          <w:rFonts w:hint="eastAsia" w:ascii="仿宋_GB2312" w:hAnsi="宋体" w:eastAsia="仿宋_GB2312" w:cs="Times New Roman"/>
          <w:kern w:val="2"/>
          <w:sz w:val="32"/>
          <w:szCs w:val="32"/>
          <w:highlight w:val="none"/>
          <w:lang w:val="en-US" w:eastAsia="zh-CN" w:bidi="ar-SA"/>
        </w:rPr>
        <w:t>。</w:t>
      </w:r>
    </w:p>
    <w:p>
      <w:pPr>
        <w:pStyle w:val="7"/>
        <w:ind w:firstLine="640" w:firstLineChars="200"/>
        <w:rPr>
          <w:rFonts w:hint="eastAsia" w:ascii="仿宋_GB2312" w:hAnsi="宋体" w:eastAsia="仿宋_GB2312" w:cs="Times New Roman"/>
          <w:kern w:val="2"/>
          <w:sz w:val="32"/>
          <w:szCs w:val="32"/>
          <w:highlight w:val="none"/>
          <w:lang w:val="en-US" w:eastAsia="zh-CN" w:bidi="ar-SA"/>
        </w:rPr>
      </w:pPr>
      <w:r>
        <w:rPr>
          <w:rFonts w:hint="eastAsia" w:cs="Times New Roman"/>
          <w:kern w:val="2"/>
          <w:sz w:val="32"/>
          <w:szCs w:val="32"/>
          <w:highlight w:val="none"/>
          <w:lang w:val="en-US" w:eastAsia="zh-CN" w:bidi="ar-SA"/>
        </w:rPr>
        <w:t>2.</w:t>
      </w:r>
      <w:r>
        <w:rPr>
          <w:rFonts w:hint="eastAsia" w:ascii="仿宋_GB2312" w:hAnsi="宋体" w:eastAsia="仿宋_GB2312" w:cs="Times New Roman"/>
          <w:kern w:val="2"/>
          <w:sz w:val="32"/>
          <w:szCs w:val="32"/>
          <w:highlight w:val="none"/>
          <w:lang w:val="en-US" w:eastAsia="zh-CN" w:bidi="ar-SA"/>
        </w:rPr>
        <w:t>项目支出预算。</w:t>
      </w:r>
    </w:p>
    <w:p>
      <w:pPr>
        <w:pStyle w:val="7"/>
        <w:ind w:firstLine="640" w:firstLineChars="200"/>
        <w:rPr>
          <w:rFonts w:hint="eastAsia" w:ascii="仿宋_GB2312" w:hAnsi="宋体" w:eastAsia="仿宋_GB2312" w:cs="Times New Roman"/>
          <w:kern w:val="2"/>
          <w:sz w:val="32"/>
          <w:szCs w:val="32"/>
          <w:highlight w:val="none"/>
          <w:lang w:val="en-US" w:eastAsia="zh-CN" w:bidi="ar-SA"/>
        </w:rPr>
      </w:pPr>
      <w:r>
        <w:rPr>
          <w:rFonts w:hint="eastAsia" w:ascii="仿宋_GB2312" w:hAnsi="宋体" w:eastAsia="仿宋_GB2312" w:cs="Times New Roman"/>
          <w:kern w:val="2"/>
          <w:sz w:val="32"/>
          <w:szCs w:val="32"/>
          <w:highlight w:val="none"/>
          <w:lang w:val="en-US" w:eastAsia="zh-CN" w:bidi="ar-SA"/>
        </w:rPr>
        <w:t>项目支出预算3,665.71万元，占支出总预算76.13%，同比增加2120.56万元，增长137.24%。</w:t>
      </w:r>
    </w:p>
    <w:p>
      <w:pPr>
        <w:pStyle w:val="7"/>
        <w:ind w:firstLine="640" w:firstLineChars="200"/>
        <w:rPr>
          <w:rFonts w:hint="eastAsia" w:ascii="仿宋_GB2312" w:hAnsi="宋体" w:eastAsia="仿宋_GB2312" w:cs="Times New Roman"/>
          <w:kern w:val="2"/>
          <w:sz w:val="32"/>
          <w:szCs w:val="32"/>
          <w:highlight w:val="none"/>
          <w:lang w:val="en-US" w:eastAsia="zh-CN" w:bidi="ar-SA"/>
        </w:rPr>
      </w:pPr>
      <w:r>
        <w:rPr>
          <w:rFonts w:hint="eastAsia" w:ascii="仿宋_GB2312" w:hAnsi="宋体" w:eastAsia="仿宋_GB2312" w:cs="Times New Roman"/>
          <w:kern w:val="2"/>
          <w:sz w:val="32"/>
          <w:szCs w:val="32"/>
          <w:highlight w:val="none"/>
          <w:lang w:val="en-US" w:eastAsia="zh-CN" w:bidi="ar-SA"/>
        </w:rPr>
        <w:t>项目支出预算增长主要原因是社会培训增加，成本相应增加。</w:t>
      </w:r>
    </w:p>
    <w:p>
      <w:pPr>
        <w:pStyle w:val="7"/>
        <w:ind w:firstLine="640" w:firstLineChars="200"/>
        <w:rPr>
          <w:rFonts w:hint="eastAsia" w:ascii="仿宋_GB2312" w:hAnsi="宋体" w:eastAsia="仿宋_GB2312" w:cs="Times New Roman"/>
          <w:kern w:val="2"/>
          <w:sz w:val="32"/>
          <w:szCs w:val="32"/>
          <w:highlight w:val="none"/>
          <w:lang w:val="en-US" w:eastAsia="zh-CN" w:bidi="ar-SA"/>
        </w:rPr>
      </w:pPr>
      <w:r>
        <w:rPr>
          <w:rFonts w:hint="eastAsia" w:ascii="仿宋_GB2312" w:hAnsi="宋体" w:eastAsia="仿宋_GB2312" w:cs="Times New Roman"/>
          <w:kern w:val="2"/>
          <w:sz w:val="32"/>
          <w:szCs w:val="32"/>
          <w:highlight w:val="none"/>
          <w:lang w:val="en-US" w:eastAsia="zh-CN" w:bidi="ar-SA"/>
        </w:rPr>
        <w:t>3.结转下年支出预算0万元，与上年预算安排一致。</w:t>
      </w:r>
    </w:p>
    <w:p>
      <w:pPr>
        <w:numPr>
          <w:ilvl w:val="0"/>
          <w:numId w:val="0"/>
        </w:numPr>
        <w:tabs>
          <w:tab w:val="center" w:pos="4475"/>
        </w:tabs>
        <w:spacing w:line="600" w:lineRule="exact"/>
        <w:ind w:left="645" w:leftChars="0"/>
        <w:rPr>
          <w:rFonts w:hint="eastAsia"/>
        </w:rPr>
      </w:pPr>
      <w:r>
        <w:rPr>
          <w:rFonts w:hint="eastAsia" w:ascii="黑体" w:eastAsia="黑体"/>
          <w:szCs w:val="32"/>
          <w:lang w:eastAsia="zh-CN"/>
        </w:rPr>
        <w:t>四、</w:t>
      </w:r>
      <w:r>
        <w:rPr>
          <w:rFonts w:hint="eastAsia" w:ascii="黑体" w:eastAsia="黑体"/>
          <w:szCs w:val="32"/>
        </w:rPr>
        <w:t>财政拨款收支总体情况说明</w:t>
      </w:r>
    </w:p>
    <w:p>
      <w:pPr>
        <w:pStyle w:val="7"/>
        <w:ind w:firstLine="640" w:firstLineChars="200"/>
        <w:rPr>
          <w:rFonts w:hint="eastAsia" w:ascii="仿宋_GB2312" w:hAnsi="宋体" w:eastAsia="仿宋_GB2312" w:cs="Times New Roman"/>
          <w:color w:val="auto"/>
          <w:kern w:val="2"/>
          <w:sz w:val="32"/>
          <w:szCs w:val="32"/>
          <w:highlight w:val="none"/>
          <w:lang w:val="en-US" w:eastAsia="zh-CN" w:bidi="ar-SA"/>
        </w:rPr>
      </w:pPr>
      <w:r>
        <w:rPr>
          <w:rFonts w:hint="eastAsia" w:ascii="仿宋_GB2312" w:hAnsi="宋体" w:eastAsia="仿宋_GB2312" w:cs="Times New Roman"/>
          <w:color w:val="auto"/>
          <w:kern w:val="2"/>
          <w:sz w:val="32"/>
          <w:szCs w:val="32"/>
          <w:highlight w:val="none"/>
          <w:lang w:val="en-US" w:eastAsia="zh-CN" w:bidi="ar-SA"/>
        </w:rPr>
        <w:t>2024年一般公共预算收入2,005.25万元，同比减少203.02万元，下降9.19%，收入减少主要原因是学生人数减少，导致各项财政拨款相应减少。</w:t>
      </w:r>
    </w:p>
    <w:p>
      <w:pPr>
        <w:pStyle w:val="7"/>
        <w:ind w:firstLine="640" w:firstLineChars="200"/>
        <w:rPr>
          <w:rFonts w:hint="eastAsia" w:ascii="仿宋_GB2312" w:hAnsi="宋体" w:eastAsia="仿宋_GB2312" w:cs="Times New Roman"/>
          <w:color w:val="auto"/>
          <w:kern w:val="2"/>
          <w:sz w:val="32"/>
          <w:szCs w:val="32"/>
          <w:highlight w:val="none"/>
          <w:lang w:val="en-US" w:eastAsia="zh-CN" w:bidi="ar-SA"/>
        </w:rPr>
      </w:pPr>
      <w:r>
        <w:rPr>
          <w:rFonts w:hint="eastAsia" w:ascii="仿宋_GB2312" w:hAnsi="宋体" w:eastAsia="仿宋_GB2312" w:cs="Times New Roman"/>
          <w:color w:val="auto"/>
          <w:kern w:val="2"/>
          <w:sz w:val="32"/>
          <w:szCs w:val="32"/>
          <w:highlight w:val="none"/>
          <w:lang w:val="en-US" w:eastAsia="zh-CN" w:bidi="ar-SA"/>
        </w:rPr>
        <w:t>2024 年一般公共预算支出2,005.25万元，同比减少203.02万元，下降9.19%，支出减少主要原因是学生人数减少，导致各项经费支出相应减少。</w:t>
      </w:r>
    </w:p>
    <w:p>
      <w:pPr>
        <w:numPr>
          <w:ilvl w:val="0"/>
          <w:numId w:val="0"/>
        </w:numPr>
        <w:tabs>
          <w:tab w:val="center" w:pos="4475"/>
        </w:tabs>
        <w:spacing w:line="600" w:lineRule="exact"/>
        <w:ind w:left="645" w:leftChars="0"/>
        <w:rPr>
          <w:rFonts w:hint="eastAsia"/>
        </w:rPr>
      </w:pPr>
      <w:r>
        <w:rPr>
          <w:rFonts w:hint="eastAsia" w:ascii="黑体" w:eastAsia="黑体"/>
          <w:szCs w:val="32"/>
          <w:lang w:eastAsia="zh-CN"/>
        </w:rPr>
        <w:t>五、</w:t>
      </w:r>
      <w:r>
        <w:rPr>
          <w:rFonts w:hint="eastAsia" w:ascii="黑体" w:eastAsia="黑体"/>
          <w:szCs w:val="32"/>
        </w:rPr>
        <w:t>一般公共预算支出情况说明</w:t>
      </w:r>
    </w:p>
    <w:p>
      <w:pPr>
        <w:pStyle w:val="7"/>
        <w:ind w:firstLine="640" w:firstLineChars="200"/>
        <w:rPr>
          <w:rFonts w:hint="eastAsia" w:ascii="仿宋_GB2312" w:hAnsi="宋体" w:eastAsia="仿宋_GB2312" w:cs="Times New Roman"/>
          <w:kern w:val="2"/>
          <w:sz w:val="32"/>
          <w:szCs w:val="32"/>
          <w:highlight w:val="none"/>
          <w:lang w:val="en-US" w:eastAsia="zh-CN" w:bidi="ar-SA"/>
        </w:rPr>
      </w:pPr>
      <w:r>
        <w:rPr>
          <w:rFonts w:hint="eastAsia" w:ascii="仿宋_GB2312" w:hAnsi="宋体" w:eastAsia="仿宋_GB2312" w:cs="Times New Roman"/>
          <w:kern w:val="2"/>
          <w:sz w:val="32"/>
          <w:szCs w:val="32"/>
          <w:highlight w:val="none"/>
          <w:lang w:val="en-US" w:eastAsia="zh-CN" w:bidi="ar-SA"/>
        </w:rPr>
        <w:t>2024年一般公共预算支出预算</w:t>
      </w:r>
      <w:r>
        <w:rPr>
          <w:rFonts w:hint="eastAsia" w:ascii="宋体" w:hAnsi="宋体"/>
          <w:snapToGrid w:val="0"/>
          <w:color w:val="auto"/>
          <w:kern w:val="0"/>
          <w:sz w:val="32"/>
          <w:szCs w:val="32"/>
          <w:lang w:val="en-US" w:eastAsia="zh-CN"/>
        </w:rPr>
        <w:t>2,005.25</w:t>
      </w:r>
      <w:r>
        <w:rPr>
          <w:rFonts w:hint="eastAsia" w:ascii="仿宋_GB2312" w:hAnsi="宋体" w:eastAsia="仿宋_GB2312" w:cs="Times New Roman"/>
          <w:kern w:val="2"/>
          <w:sz w:val="32"/>
          <w:szCs w:val="32"/>
          <w:highlight w:val="none"/>
          <w:lang w:val="en-US" w:eastAsia="zh-CN" w:bidi="ar-SA"/>
        </w:rPr>
        <w:t xml:space="preserve">万元，同比减少203.02万元，下降9.19%。 </w:t>
      </w:r>
    </w:p>
    <w:p>
      <w:pPr>
        <w:pStyle w:val="7"/>
        <w:ind w:firstLine="640" w:firstLineChars="200"/>
        <w:rPr>
          <w:rFonts w:hint="eastAsia" w:ascii="仿宋_GB2312" w:hAnsi="宋体" w:eastAsia="仿宋_GB2312" w:cs="Times New Roman"/>
          <w:kern w:val="2"/>
          <w:sz w:val="32"/>
          <w:szCs w:val="32"/>
          <w:highlight w:val="none"/>
          <w:lang w:val="en-US" w:eastAsia="zh-CN" w:bidi="ar-SA"/>
        </w:rPr>
      </w:pPr>
      <w:r>
        <w:rPr>
          <w:rFonts w:hint="eastAsia" w:ascii="仿宋_GB2312" w:hAnsi="宋体" w:eastAsia="仿宋_GB2312" w:cs="Times New Roman"/>
          <w:kern w:val="2"/>
          <w:sz w:val="32"/>
          <w:szCs w:val="32"/>
          <w:highlight w:val="none"/>
          <w:lang w:val="en-US" w:eastAsia="zh-CN" w:bidi="ar-SA"/>
        </w:rPr>
        <w:t>按支出功能分类科目划分，共分为四类，其中：</w:t>
      </w:r>
    </w:p>
    <w:p>
      <w:pPr>
        <w:pStyle w:val="7"/>
        <w:ind w:firstLine="640" w:firstLineChars="200"/>
        <w:rPr>
          <w:rFonts w:hint="eastAsia" w:ascii="仿宋_GB2312" w:hAnsi="宋体" w:eastAsia="仿宋_GB2312" w:cs="Times New Roman"/>
          <w:kern w:val="2"/>
          <w:sz w:val="32"/>
          <w:szCs w:val="32"/>
          <w:highlight w:val="none"/>
          <w:lang w:val="en-US" w:eastAsia="zh-CN" w:bidi="ar-SA"/>
        </w:rPr>
      </w:pPr>
      <w:r>
        <w:rPr>
          <w:rFonts w:hint="eastAsia" w:cs="Times New Roman"/>
          <w:kern w:val="2"/>
          <w:sz w:val="32"/>
          <w:szCs w:val="32"/>
          <w:highlight w:val="none"/>
          <w:lang w:val="en-US" w:eastAsia="zh-CN" w:bidi="ar-SA"/>
        </w:rPr>
        <w:t>（一）</w:t>
      </w:r>
      <w:r>
        <w:rPr>
          <w:rFonts w:hint="eastAsia" w:ascii="仿宋_GB2312" w:hAnsi="宋体" w:eastAsia="仿宋_GB2312" w:cs="Times New Roman"/>
          <w:kern w:val="2"/>
          <w:sz w:val="32"/>
          <w:szCs w:val="32"/>
          <w:highlight w:val="none"/>
          <w:lang w:val="en-US" w:eastAsia="zh-CN" w:bidi="ar-SA"/>
        </w:rPr>
        <w:t>教育类科目支出1,926.98万元，占支出总预算96.103%，同比减少205.187万元，下降9.62%。</w:t>
      </w:r>
    </w:p>
    <w:p>
      <w:pPr>
        <w:pStyle w:val="7"/>
        <w:ind w:firstLine="640" w:firstLineChars="200"/>
        <w:rPr>
          <w:rFonts w:hint="eastAsia" w:ascii="仿宋_GB2312" w:hAnsi="宋体" w:eastAsia="仿宋_GB2312" w:cs="Times New Roman"/>
          <w:kern w:val="2"/>
          <w:sz w:val="32"/>
          <w:szCs w:val="32"/>
          <w:highlight w:val="none"/>
          <w:lang w:val="en-US" w:eastAsia="zh-CN" w:bidi="ar-SA"/>
        </w:rPr>
      </w:pPr>
      <w:r>
        <w:rPr>
          <w:rFonts w:hint="eastAsia" w:cs="Times New Roman"/>
          <w:kern w:val="2"/>
          <w:sz w:val="32"/>
          <w:szCs w:val="32"/>
          <w:highlight w:val="none"/>
          <w:lang w:val="en-US" w:eastAsia="zh-CN" w:bidi="ar-SA"/>
        </w:rPr>
        <w:t>（二）</w:t>
      </w:r>
      <w:r>
        <w:rPr>
          <w:rFonts w:hint="eastAsia" w:ascii="仿宋_GB2312" w:hAnsi="宋体" w:eastAsia="仿宋_GB2312" w:cs="Times New Roman"/>
          <w:kern w:val="2"/>
          <w:sz w:val="32"/>
          <w:szCs w:val="32"/>
          <w:highlight w:val="none"/>
          <w:lang w:val="en-US" w:eastAsia="zh-CN" w:bidi="ar-SA"/>
        </w:rPr>
        <w:t>社会保障和就业类科目支出35.38万元，占支出总预算1.76%，同比增加0.98万元，增长2.85%。</w:t>
      </w:r>
    </w:p>
    <w:p>
      <w:pPr>
        <w:pStyle w:val="7"/>
        <w:ind w:firstLine="640" w:firstLineChars="200"/>
        <w:rPr>
          <w:rFonts w:hint="eastAsia" w:ascii="仿宋_GB2312" w:hAnsi="宋体" w:eastAsia="仿宋_GB2312" w:cs="Times New Roman"/>
          <w:kern w:val="2"/>
          <w:sz w:val="32"/>
          <w:szCs w:val="32"/>
          <w:highlight w:val="none"/>
          <w:lang w:val="en-US" w:eastAsia="zh-CN" w:bidi="ar-SA"/>
        </w:rPr>
      </w:pPr>
      <w:r>
        <w:rPr>
          <w:rFonts w:hint="eastAsia" w:cs="Times New Roman"/>
          <w:kern w:val="2"/>
          <w:sz w:val="32"/>
          <w:szCs w:val="32"/>
          <w:highlight w:val="none"/>
          <w:lang w:val="en-US" w:eastAsia="zh-CN" w:bidi="ar-SA"/>
        </w:rPr>
        <w:t>（三）</w:t>
      </w:r>
      <w:r>
        <w:rPr>
          <w:rFonts w:hint="eastAsia" w:ascii="仿宋_GB2312" w:hAnsi="宋体" w:eastAsia="仿宋_GB2312" w:cs="Times New Roman"/>
          <w:kern w:val="2"/>
          <w:sz w:val="32"/>
          <w:szCs w:val="32"/>
          <w:highlight w:val="none"/>
          <w:lang w:val="en-US" w:eastAsia="zh-CN" w:bidi="ar-SA"/>
        </w:rPr>
        <w:t>卫生健康支出类科目支出16.36万元，占支出总预算0.82%，同比增加0.45万元，增长2.83%。</w:t>
      </w:r>
    </w:p>
    <w:p>
      <w:pPr>
        <w:pStyle w:val="7"/>
        <w:ind w:firstLine="640" w:firstLineChars="200"/>
        <w:rPr>
          <w:rFonts w:hint="eastAsia" w:ascii="仿宋_GB2312" w:hAnsi="宋体" w:eastAsia="仿宋_GB2312" w:cs="Times New Roman"/>
          <w:kern w:val="2"/>
          <w:sz w:val="32"/>
          <w:szCs w:val="32"/>
          <w:highlight w:val="none"/>
          <w:lang w:val="en-US" w:eastAsia="zh-CN" w:bidi="ar-SA"/>
        </w:rPr>
      </w:pPr>
      <w:r>
        <w:rPr>
          <w:rFonts w:hint="eastAsia" w:cs="Times New Roman"/>
          <w:kern w:val="2"/>
          <w:sz w:val="32"/>
          <w:szCs w:val="32"/>
          <w:highlight w:val="none"/>
          <w:lang w:val="en-US" w:eastAsia="zh-CN" w:bidi="ar-SA"/>
        </w:rPr>
        <w:t>（四）</w:t>
      </w:r>
      <w:r>
        <w:rPr>
          <w:rFonts w:hint="eastAsia" w:ascii="仿宋_GB2312" w:hAnsi="宋体" w:eastAsia="仿宋_GB2312" w:cs="Times New Roman"/>
          <w:kern w:val="2"/>
          <w:sz w:val="32"/>
          <w:szCs w:val="32"/>
          <w:highlight w:val="none"/>
          <w:lang w:val="en-US" w:eastAsia="zh-CN" w:bidi="ar-SA"/>
        </w:rPr>
        <w:t>住房保障支出类科目26.53万元，占支出总预1.32%，同比增加0.73万元，增长2.83%。</w:t>
      </w:r>
    </w:p>
    <w:p>
      <w:pPr>
        <w:pStyle w:val="7"/>
        <w:ind w:firstLine="640" w:firstLineChars="200"/>
        <w:rPr>
          <w:rFonts w:hint="eastAsia" w:ascii="仿宋_GB2312" w:hAnsi="宋体" w:eastAsia="仿宋_GB2312" w:cs="Times New Roman"/>
          <w:kern w:val="2"/>
          <w:sz w:val="32"/>
          <w:szCs w:val="32"/>
          <w:highlight w:val="none"/>
          <w:lang w:val="en-US" w:eastAsia="zh-CN" w:bidi="ar-SA"/>
        </w:rPr>
      </w:pPr>
      <w:r>
        <w:rPr>
          <w:rFonts w:hint="eastAsia" w:ascii="仿宋_GB2312" w:hAnsi="宋体" w:eastAsia="仿宋_GB2312" w:cs="Times New Roman"/>
          <w:kern w:val="2"/>
          <w:sz w:val="32"/>
          <w:szCs w:val="32"/>
          <w:highlight w:val="none"/>
          <w:lang w:val="en-US" w:eastAsia="zh-CN" w:bidi="ar-SA"/>
        </w:rPr>
        <w:t>一般公共预算支出减少主要原因是学生人数减少，导致各项经费支出相应减少。</w:t>
      </w:r>
    </w:p>
    <w:p>
      <w:pPr>
        <w:numPr>
          <w:ilvl w:val="0"/>
          <w:numId w:val="0"/>
        </w:numPr>
        <w:tabs>
          <w:tab w:val="center" w:pos="4475"/>
        </w:tabs>
        <w:spacing w:line="600" w:lineRule="exact"/>
        <w:ind w:left="645" w:leftChars="0"/>
        <w:rPr>
          <w:rFonts w:hint="eastAsia"/>
        </w:rPr>
      </w:pPr>
      <w:r>
        <w:rPr>
          <w:rFonts w:hint="eastAsia" w:ascii="黑体" w:eastAsia="黑体"/>
          <w:szCs w:val="32"/>
          <w:lang w:eastAsia="zh-CN"/>
        </w:rPr>
        <w:t>六、</w:t>
      </w:r>
      <w:r>
        <w:rPr>
          <w:rFonts w:hint="eastAsia" w:ascii="黑体" w:eastAsia="黑体"/>
          <w:szCs w:val="32"/>
        </w:rPr>
        <w:t>一般公共预算基本支出情况说明</w:t>
      </w:r>
    </w:p>
    <w:p>
      <w:pPr>
        <w:pStyle w:val="7"/>
        <w:ind w:firstLine="640" w:firstLineChars="200"/>
        <w:rPr>
          <w:rFonts w:hint="eastAsia" w:ascii="仿宋_GB2312" w:hAnsi="宋体" w:eastAsia="仿宋_GB2312" w:cs="Times New Roman"/>
          <w:kern w:val="2"/>
          <w:sz w:val="32"/>
          <w:szCs w:val="32"/>
          <w:highlight w:val="none"/>
          <w:lang w:val="en-US" w:eastAsia="zh-CN" w:bidi="ar-SA"/>
        </w:rPr>
      </w:pPr>
      <w:r>
        <w:rPr>
          <w:rFonts w:hint="eastAsia" w:ascii="仿宋_GB2312" w:hAnsi="宋体" w:eastAsia="仿宋_GB2312" w:cs="Times New Roman"/>
          <w:kern w:val="2"/>
          <w:sz w:val="32"/>
          <w:szCs w:val="32"/>
          <w:highlight w:val="none"/>
          <w:lang w:val="en-US" w:eastAsia="zh-CN" w:bidi="ar-SA"/>
        </w:rPr>
        <w:t>基本支出预算1,063.41万元，占支出总预算53.03%，同比减少67.71万元，下降5.99%。其中：</w:t>
      </w:r>
    </w:p>
    <w:p>
      <w:pPr>
        <w:pStyle w:val="7"/>
        <w:ind w:firstLine="640" w:firstLineChars="200"/>
        <w:rPr>
          <w:rFonts w:hint="eastAsia" w:ascii="仿宋_GB2312" w:hAnsi="宋体" w:eastAsia="仿宋_GB2312" w:cs="Times New Roman"/>
          <w:kern w:val="2"/>
          <w:sz w:val="32"/>
          <w:szCs w:val="32"/>
          <w:highlight w:val="none"/>
          <w:lang w:val="en-US" w:eastAsia="zh-CN" w:bidi="ar-SA"/>
        </w:rPr>
      </w:pPr>
      <w:bookmarkStart w:id="0" w:name="OLE_LINK1"/>
      <w:r>
        <w:rPr>
          <w:rFonts w:hint="eastAsia" w:ascii="仿宋_GB2312" w:hAnsi="宋体" w:eastAsia="仿宋_GB2312" w:cs="Times New Roman"/>
          <w:kern w:val="2"/>
          <w:sz w:val="32"/>
          <w:szCs w:val="32"/>
          <w:highlight w:val="none"/>
          <w:lang w:val="en-US" w:eastAsia="zh-CN" w:bidi="ar-SA"/>
        </w:rPr>
        <w:t>人员经费预算</w:t>
      </w:r>
      <w:bookmarkEnd w:id="0"/>
      <w:r>
        <w:rPr>
          <w:rFonts w:hint="eastAsia" w:ascii="仿宋_GB2312" w:hAnsi="宋体" w:eastAsia="仿宋_GB2312" w:cs="Times New Roman"/>
          <w:kern w:val="2"/>
          <w:sz w:val="32"/>
          <w:szCs w:val="32"/>
          <w:highlight w:val="none"/>
          <w:lang w:val="en-US" w:eastAsia="zh-CN" w:bidi="ar-SA"/>
        </w:rPr>
        <w:t>422.34万元，占基本支出预算39.72%，同比减少1.88万元，下降0.44%。其中：工资福利支出预算300.93万元，占基本支出预算28.30%，同比增加8.33万元，增长2.85%；对个人和家庭的补助预算121.41万元，占基本支出预算11.42%，同比减少10.21万元，下降7.76%。</w:t>
      </w:r>
    </w:p>
    <w:p>
      <w:pPr>
        <w:pStyle w:val="7"/>
        <w:ind w:firstLine="640" w:firstLineChars="200"/>
        <w:rPr>
          <w:rFonts w:hint="eastAsia" w:ascii="仿宋_GB2312" w:hAnsi="宋体" w:eastAsia="仿宋_GB2312" w:cs="Times New Roman"/>
          <w:kern w:val="2"/>
          <w:sz w:val="32"/>
          <w:szCs w:val="32"/>
          <w:highlight w:val="none"/>
          <w:lang w:val="en-US" w:eastAsia="zh-CN" w:bidi="ar-SA"/>
        </w:rPr>
      </w:pPr>
      <w:r>
        <w:rPr>
          <w:rFonts w:hint="eastAsia" w:ascii="仿宋_GB2312" w:hAnsi="宋体" w:eastAsia="仿宋_GB2312" w:cs="Times New Roman"/>
          <w:kern w:val="2"/>
          <w:sz w:val="32"/>
          <w:szCs w:val="32"/>
          <w:highlight w:val="none"/>
          <w:lang w:val="en-US" w:eastAsia="zh-CN" w:bidi="ar-SA"/>
        </w:rPr>
        <w:t>商品和服务支出预算641.07万元，占基本支出预算60.28%，同比减少65.83万元，下降9.31 %。</w:t>
      </w:r>
    </w:p>
    <w:p>
      <w:pPr>
        <w:pStyle w:val="7"/>
        <w:ind w:firstLine="640" w:firstLineChars="200"/>
        <w:rPr>
          <w:rFonts w:hint="eastAsia" w:ascii="仿宋_GB2312" w:hAnsi="宋体" w:eastAsia="仿宋_GB2312" w:cs="Times New Roman"/>
          <w:kern w:val="2"/>
          <w:sz w:val="32"/>
          <w:szCs w:val="32"/>
          <w:highlight w:val="none"/>
          <w:lang w:val="en-US" w:eastAsia="zh-CN" w:bidi="ar-SA"/>
        </w:rPr>
      </w:pPr>
      <w:r>
        <w:rPr>
          <w:rFonts w:hint="eastAsia" w:ascii="仿宋_GB2312" w:hAnsi="宋体" w:eastAsia="仿宋_GB2312" w:cs="Times New Roman"/>
          <w:kern w:val="2"/>
          <w:sz w:val="32"/>
          <w:szCs w:val="32"/>
          <w:highlight w:val="none"/>
          <w:lang w:val="en-US" w:eastAsia="zh-CN" w:bidi="ar-SA"/>
        </w:rPr>
        <w:t>基本支出预算减少的主要原因是学生人数减少，导致各项经费支出相应减少。</w:t>
      </w:r>
    </w:p>
    <w:p>
      <w:pPr>
        <w:numPr>
          <w:ilvl w:val="0"/>
          <w:numId w:val="0"/>
        </w:numPr>
        <w:tabs>
          <w:tab w:val="center" w:pos="4475"/>
        </w:tabs>
        <w:spacing w:line="600" w:lineRule="exact"/>
        <w:ind w:left="645" w:leftChars="0"/>
        <w:rPr>
          <w:rFonts w:hint="eastAsia"/>
        </w:rPr>
      </w:pPr>
      <w:r>
        <w:rPr>
          <w:rFonts w:hint="eastAsia" w:ascii="黑体" w:eastAsia="黑体"/>
          <w:szCs w:val="32"/>
          <w:lang w:eastAsia="zh-CN"/>
        </w:rPr>
        <w:t>七、</w:t>
      </w:r>
      <w:r>
        <w:rPr>
          <w:rFonts w:hint="eastAsia" w:ascii="黑体" w:eastAsia="黑体"/>
          <w:szCs w:val="32"/>
        </w:rPr>
        <w:t>一般公共预算“三公”经费支出情况说明</w:t>
      </w:r>
    </w:p>
    <w:p>
      <w:pPr>
        <w:pStyle w:val="7"/>
        <w:ind w:firstLine="640" w:firstLineChars="200"/>
        <w:rPr>
          <w:rFonts w:hint="eastAsia" w:ascii="仿宋_GB2312" w:hAnsi="宋体" w:eastAsia="仿宋_GB2312" w:cs="Times New Roman"/>
          <w:kern w:val="2"/>
          <w:sz w:val="32"/>
          <w:szCs w:val="32"/>
          <w:highlight w:val="none"/>
          <w:lang w:val="en-US" w:eastAsia="zh-CN" w:bidi="ar-SA"/>
        </w:rPr>
      </w:pPr>
      <w:r>
        <w:rPr>
          <w:rFonts w:hint="eastAsia" w:ascii="仿宋_GB2312" w:hAnsi="宋体" w:eastAsia="仿宋_GB2312" w:cs="Times New Roman"/>
          <w:kern w:val="2"/>
          <w:sz w:val="32"/>
          <w:szCs w:val="32"/>
          <w:highlight w:val="none"/>
          <w:lang w:val="en-US" w:eastAsia="zh-CN" w:bidi="ar-SA"/>
        </w:rPr>
        <w:t>我</w:t>
      </w:r>
      <w:r>
        <w:rPr>
          <w:rFonts w:hint="eastAsia" w:cs="Times New Roman"/>
          <w:kern w:val="2"/>
          <w:sz w:val="32"/>
          <w:szCs w:val="32"/>
          <w:highlight w:val="none"/>
          <w:lang w:val="en-US" w:eastAsia="zh-CN" w:bidi="ar-SA"/>
        </w:rPr>
        <w:t>单位</w:t>
      </w:r>
      <w:r>
        <w:rPr>
          <w:rFonts w:hint="eastAsia" w:ascii="仿宋_GB2312" w:hAnsi="宋体" w:eastAsia="仿宋_GB2312" w:cs="Times New Roman"/>
          <w:kern w:val="2"/>
          <w:sz w:val="32"/>
          <w:szCs w:val="32"/>
          <w:highlight w:val="none"/>
          <w:lang w:val="en-US" w:eastAsia="zh-CN" w:bidi="ar-SA"/>
        </w:rPr>
        <w:t>2024年一般公共预算安排的“三公”经费</w:t>
      </w:r>
      <w:r>
        <w:rPr>
          <w:rFonts w:hint="eastAsia" w:cs="Times New Roman"/>
          <w:kern w:val="2"/>
          <w:sz w:val="32"/>
          <w:szCs w:val="32"/>
          <w:highlight w:val="none"/>
          <w:lang w:val="en-US" w:eastAsia="zh-CN" w:bidi="ar-SA"/>
        </w:rPr>
        <w:t>支出预算</w:t>
      </w:r>
      <w:r>
        <w:rPr>
          <w:rFonts w:hint="eastAsia" w:ascii="仿宋_GB2312" w:hAnsi="宋体" w:eastAsia="仿宋_GB2312" w:cs="Times New Roman"/>
          <w:kern w:val="2"/>
          <w:sz w:val="32"/>
          <w:szCs w:val="32"/>
          <w:highlight w:val="none"/>
          <w:lang w:val="en-US" w:eastAsia="zh-CN" w:bidi="ar-SA"/>
        </w:rPr>
        <w:t>0万元，与上年持平。</w:t>
      </w:r>
    </w:p>
    <w:p>
      <w:pPr>
        <w:numPr>
          <w:ilvl w:val="0"/>
          <w:numId w:val="0"/>
        </w:numPr>
        <w:tabs>
          <w:tab w:val="center" w:pos="4475"/>
        </w:tabs>
        <w:spacing w:line="600" w:lineRule="exact"/>
        <w:ind w:left="645" w:leftChars="0"/>
        <w:rPr>
          <w:rFonts w:hint="eastAsia"/>
        </w:rPr>
      </w:pPr>
      <w:r>
        <w:rPr>
          <w:rFonts w:hint="eastAsia" w:ascii="黑体" w:eastAsia="黑体"/>
          <w:szCs w:val="32"/>
          <w:lang w:eastAsia="zh-CN"/>
        </w:rPr>
        <w:t>八、</w:t>
      </w:r>
      <w:r>
        <w:rPr>
          <w:rFonts w:hint="eastAsia" w:ascii="黑体" w:eastAsia="黑体"/>
          <w:szCs w:val="32"/>
        </w:rPr>
        <w:t>政府性基金预算支出情况说明</w:t>
      </w:r>
    </w:p>
    <w:p>
      <w:pPr>
        <w:pStyle w:val="7"/>
        <w:ind w:firstLine="640" w:firstLineChars="200"/>
        <w:rPr>
          <w:rFonts w:hint="eastAsia" w:ascii="仿宋_GB2312" w:hAnsi="宋体" w:eastAsia="仿宋_GB2312" w:cs="Times New Roman"/>
          <w:kern w:val="2"/>
          <w:sz w:val="32"/>
          <w:szCs w:val="32"/>
          <w:highlight w:val="none"/>
          <w:lang w:val="en-US" w:eastAsia="zh-CN" w:bidi="ar-SA"/>
        </w:rPr>
      </w:pPr>
      <w:r>
        <w:rPr>
          <w:rFonts w:hint="eastAsia" w:ascii="仿宋_GB2312" w:hAnsi="宋体" w:eastAsia="仿宋_GB2312" w:cs="Times New Roman"/>
          <w:kern w:val="2"/>
          <w:sz w:val="32"/>
          <w:szCs w:val="32"/>
          <w:highlight w:val="none"/>
          <w:lang w:val="en-US" w:eastAsia="zh-CN" w:bidi="ar-SA"/>
        </w:rPr>
        <w:t>本</w:t>
      </w:r>
      <w:r>
        <w:rPr>
          <w:rFonts w:hint="eastAsia" w:cs="Times New Roman"/>
          <w:kern w:val="2"/>
          <w:sz w:val="32"/>
          <w:szCs w:val="32"/>
          <w:highlight w:val="none"/>
          <w:lang w:val="en-US" w:eastAsia="zh-CN" w:bidi="ar-SA"/>
        </w:rPr>
        <w:t>单位</w:t>
      </w:r>
      <w:r>
        <w:rPr>
          <w:rFonts w:hint="eastAsia" w:ascii="仿宋_GB2312" w:hAnsi="宋体" w:eastAsia="仿宋_GB2312" w:cs="Times New Roman"/>
          <w:kern w:val="2"/>
          <w:sz w:val="32"/>
          <w:szCs w:val="32"/>
          <w:highlight w:val="none"/>
          <w:lang w:val="en-US" w:eastAsia="zh-CN" w:bidi="ar-SA"/>
        </w:rPr>
        <w:t>2024年无政府性基金预算。</w:t>
      </w:r>
    </w:p>
    <w:p>
      <w:pPr>
        <w:numPr>
          <w:ilvl w:val="0"/>
          <w:numId w:val="0"/>
        </w:numPr>
        <w:tabs>
          <w:tab w:val="center" w:pos="4475"/>
        </w:tabs>
        <w:spacing w:line="600" w:lineRule="exact"/>
        <w:ind w:left="645" w:leftChars="0"/>
        <w:rPr>
          <w:rFonts w:hint="eastAsia"/>
          <w:lang w:eastAsia="zh-CN"/>
        </w:rPr>
      </w:pPr>
      <w:r>
        <w:rPr>
          <w:rFonts w:hint="eastAsia" w:ascii="黑体" w:eastAsia="黑体"/>
          <w:szCs w:val="32"/>
          <w:highlight w:val="none"/>
          <w:lang w:eastAsia="zh-CN"/>
        </w:rPr>
        <w:t>九、国有资本经营</w:t>
      </w:r>
      <w:r>
        <w:rPr>
          <w:rFonts w:hint="eastAsia" w:ascii="黑体" w:eastAsia="黑体"/>
          <w:szCs w:val="32"/>
          <w:highlight w:val="none"/>
        </w:rPr>
        <w:t>预算支出情况说明</w:t>
      </w:r>
    </w:p>
    <w:p>
      <w:pPr>
        <w:pStyle w:val="7"/>
        <w:ind w:firstLine="640" w:firstLineChars="200"/>
        <w:rPr>
          <w:rFonts w:hint="eastAsia" w:ascii="仿宋_GB2312" w:hAnsi="宋体" w:eastAsia="仿宋_GB2312" w:cs="Times New Roman"/>
          <w:kern w:val="2"/>
          <w:sz w:val="32"/>
          <w:szCs w:val="32"/>
          <w:highlight w:val="none"/>
          <w:lang w:val="en-US" w:eastAsia="zh-CN" w:bidi="ar-SA"/>
        </w:rPr>
      </w:pPr>
      <w:r>
        <w:rPr>
          <w:rFonts w:hint="eastAsia" w:ascii="仿宋_GB2312" w:hAnsi="宋体" w:eastAsia="仿宋_GB2312" w:cs="Times New Roman"/>
          <w:kern w:val="2"/>
          <w:sz w:val="32"/>
          <w:szCs w:val="32"/>
          <w:highlight w:val="none"/>
          <w:lang w:val="en-US" w:eastAsia="zh-CN" w:bidi="ar-SA"/>
        </w:rPr>
        <w:t>本</w:t>
      </w:r>
      <w:r>
        <w:rPr>
          <w:rFonts w:hint="eastAsia" w:cs="Times New Roman"/>
          <w:kern w:val="2"/>
          <w:sz w:val="32"/>
          <w:szCs w:val="32"/>
          <w:highlight w:val="none"/>
          <w:lang w:val="en-US" w:eastAsia="zh-CN" w:bidi="ar-SA"/>
        </w:rPr>
        <w:t>单位</w:t>
      </w:r>
      <w:r>
        <w:rPr>
          <w:rFonts w:hint="eastAsia" w:ascii="仿宋_GB2312" w:hAnsi="宋体" w:eastAsia="仿宋_GB2312" w:cs="Times New Roman"/>
          <w:kern w:val="2"/>
          <w:sz w:val="32"/>
          <w:szCs w:val="32"/>
          <w:highlight w:val="none"/>
          <w:lang w:val="en-US" w:eastAsia="zh-CN" w:bidi="ar-SA"/>
        </w:rPr>
        <w:t>2024年无国有资本经营预算。</w:t>
      </w:r>
    </w:p>
    <w:p>
      <w:pPr>
        <w:numPr>
          <w:ilvl w:val="0"/>
          <w:numId w:val="0"/>
        </w:numPr>
        <w:tabs>
          <w:tab w:val="center" w:pos="4475"/>
        </w:tabs>
        <w:spacing w:line="600" w:lineRule="exact"/>
        <w:ind w:left="645" w:leftChars="0"/>
        <w:rPr>
          <w:rFonts w:hint="eastAsia"/>
        </w:rPr>
      </w:pPr>
      <w:r>
        <w:rPr>
          <w:rFonts w:hint="eastAsia" w:ascii="黑体" w:eastAsia="黑体"/>
          <w:szCs w:val="32"/>
          <w:lang w:eastAsia="zh-CN"/>
        </w:rPr>
        <w:t>十、</w:t>
      </w:r>
      <w:r>
        <w:rPr>
          <w:rFonts w:hint="eastAsia" w:ascii="黑体" w:eastAsia="黑体"/>
          <w:szCs w:val="32"/>
        </w:rPr>
        <w:t>其他重要事项情况说明</w:t>
      </w:r>
    </w:p>
    <w:p>
      <w:pPr>
        <w:tabs>
          <w:tab w:val="center" w:pos="4475"/>
        </w:tabs>
        <w:spacing w:line="600" w:lineRule="exact"/>
        <w:ind w:firstLine="645"/>
        <w:rPr>
          <w:rFonts w:hint="eastAsia" w:ascii="仿宋_GB2312" w:hAnsi="宋体" w:eastAsia="仿宋_GB2312" w:cs="Times New Roman"/>
          <w:kern w:val="2"/>
          <w:sz w:val="32"/>
          <w:szCs w:val="32"/>
          <w:highlight w:val="none"/>
          <w:lang w:val="en-US" w:eastAsia="zh-CN" w:bidi="ar-SA"/>
        </w:rPr>
      </w:pPr>
      <w:r>
        <w:rPr>
          <w:rFonts w:hint="eastAsia" w:ascii="仿宋_GB2312" w:hAnsi="宋体" w:eastAsia="仿宋_GB2312" w:cs="Times New Roman"/>
          <w:kern w:val="2"/>
          <w:sz w:val="32"/>
          <w:szCs w:val="32"/>
          <w:highlight w:val="none"/>
          <w:lang w:val="en-US" w:eastAsia="zh-CN" w:bidi="ar-SA"/>
        </w:rPr>
        <w:t>（一）事业单位相关运行经费安排情况说明</w:t>
      </w:r>
    </w:p>
    <w:p>
      <w:pPr>
        <w:pStyle w:val="7"/>
        <w:ind w:firstLine="640" w:firstLineChars="200"/>
        <w:rPr>
          <w:rFonts w:hint="eastAsia" w:ascii="仿宋_GB2312" w:hAnsi="宋体" w:eastAsia="仿宋_GB2312" w:cs="Times New Roman"/>
          <w:kern w:val="2"/>
          <w:sz w:val="32"/>
          <w:szCs w:val="32"/>
          <w:highlight w:val="none"/>
          <w:lang w:val="en-US" w:eastAsia="zh-CN" w:bidi="ar-SA"/>
        </w:rPr>
      </w:pPr>
      <w:r>
        <w:rPr>
          <w:rFonts w:hint="eastAsia" w:ascii="仿宋_GB2312" w:hAnsi="宋体" w:eastAsia="仿宋_GB2312" w:cs="Times New Roman"/>
          <w:kern w:val="2"/>
          <w:sz w:val="32"/>
          <w:szCs w:val="32"/>
          <w:highlight w:val="none"/>
          <w:lang w:val="en-US" w:eastAsia="zh-CN" w:bidi="ar-SA"/>
        </w:rPr>
        <w:t xml:space="preserve">本单位2024年事业单位相关运行经费财政拨款预算 </w:t>
      </w:r>
      <w:r>
        <w:rPr>
          <w:rFonts w:hint="eastAsia" w:cs="Times New Roman"/>
          <w:kern w:val="2"/>
          <w:sz w:val="32"/>
          <w:szCs w:val="32"/>
          <w:highlight w:val="none"/>
          <w:lang w:val="en-US" w:eastAsia="zh-CN" w:bidi="ar-SA"/>
        </w:rPr>
        <w:t>641.07</w:t>
      </w:r>
      <w:r>
        <w:rPr>
          <w:rFonts w:hint="eastAsia" w:ascii="仿宋_GB2312" w:hAnsi="宋体" w:eastAsia="仿宋_GB2312" w:cs="Times New Roman"/>
          <w:kern w:val="2"/>
          <w:sz w:val="32"/>
          <w:szCs w:val="32"/>
          <w:highlight w:val="none"/>
          <w:lang w:val="en-US" w:eastAsia="zh-CN" w:bidi="ar-SA"/>
        </w:rPr>
        <w:t>万元，同比减少</w:t>
      </w:r>
      <w:r>
        <w:rPr>
          <w:rFonts w:hint="eastAsia" w:cs="Times New Roman"/>
          <w:kern w:val="2"/>
          <w:sz w:val="32"/>
          <w:szCs w:val="32"/>
          <w:highlight w:val="none"/>
          <w:lang w:val="en-US" w:eastAsia="zh-CN" w:bidi="ar-SA"/>
        </w:rPr>
        <w:t>65.83</w:t>
      </w:r>
      <w:r>
        <w:rPr>
          <w:rFonts w:hint="eastAsia" w:ascii="仿宋_GB2312" w:hAnsi="宋体" w:eastAsia="仿宋_GB2312" w:cs="Times New Roman"/>
          <w:kern w:val="2"/>
          <w:sz w:val="32"/>
          <w:szCs w:val="32"/>
          <w:highlight w:val="none"/>
          <w:lang w:val="en-US" w:eastAsia="zh-CN" w:bidi="ar-SA"/>
        </w:rPr>
        <w:t xml:space="preserve"> 万元，下降</w:t>
      </w:r>
      <w:r>
        <w:rPr>
          <w:rFonts w:hint="eastAsia" w:cs="Times New Roman"/>
          <w:kern w:val="2"/>
          <w:sz w:val="32"/>
          <w:szCs w:val="32"/>
          <w:highlight w:val="none"/>
          <w:lang w:val="en-US" w:eastAsia="zh-CN" w:bidi="ar-SA"/>
        </w:rPr>
        <w:t>9.31</w:t>
      </w:r>
      <w:r>
        <w:rPr>
          <w:rFonts w:hint="eastAsia" w:ascii="仿宋_GB2312" w:hAnsi="宋体" w:eastAsia="仿宋_GB2312" w:cs="Times New Roman"/>
          <w:kern w:val="2"/>
          <w:sz w:val="32"/>
          <w:szCs w:val="32"/>
          <w:highlight w:val="none"/>
          <w:lang w:val="en-US" w:eastAsia="zh-CN" w:bidi="ar-SA"/>
        </w:rPr>
        <w:t>%，减少主要原因是学生人数减少，公用经费拨款减少。主要用于按规定的开支标准安排办公费、印刷费、水费、电费、维修费、劳务费、差旅费、专用材料费等日常公用经费支出。</w:t>
      </w:r>
    </w:p>
    <w:p>
      <w:pPr>
        <w:pStyle w:val="7"/>
        <w:numPr>
          <w:ilvl w:val="0"/>
          <w:numId w:val="2"/>
        </w:numPr>
        <w:ind w:firstLine="640" w:firstLineChars="200"/>
        <w:rPr>
          <w:rFonts w:hint="eastAsia" w:ascii="仿宋_GB2312" w:hAnsi="宋体" w:eastAsia="仿宋_GB2312" w:cs="Times New Roman"/>
          <w:kern w:val="2"/>
          <w:sz w:val="32"/>
          <w:szCs w:val="32"/>
          <w:highlight w:val="none"/>
          <w:lang w:val="en-US" w:eastAsia="zh-CN" w:bidi="ar-SA"/>
        </w:rPr>
      </w:pPr>
      <w:r>
        <w:rPr>
          <w:rFonts w:hint="eastAsia" w:ascii="仿宋_GB2312" w:hAnsi="宋体" w:eastAsia="仿宋_GB2312" w:cs="Times New Roman"/>
          <w:kern w:val="2"/>
          <w:sz w:val="32"/>
          <w:szCs w:val="32"/>
          <w:highlight w:val="none"/>
          <w:lang w:val="en-US" w:eastAsia="zh-CN" w:bidi="ar-SA"/>
        </w:rPr>
        <w:t>政府采购预算安排情况说明</w:t>
      </w:r>
    </w:p>
    <w:p>
      <w:pPr>
        <w:pStyle w:val="7"/>
        <w:numPr>
          <w:ilvl w:val="0"/>
          <w:numId w:val="0"/>
        </w:numPr>
        <w:ind w:firstLine="640" w:firstLineChars="200"/>
        <w:rPr>
          <w:rFonts w:hint="eastAsia" w:ascii="仿宋_GB2312" w:hAnsi="宋体" w:eastAsia="仿宋_GB2312" w:cs="Times New Roman"/>
          <w:color w:val="auto"/>
          <w:kern w:val="2"/>
          <w:sz w:val="32"/>
          <w:szCs w:val="32"/>
          <w:highlight w:val="none"/>
          <w:lang w:val="en-US" w:eastAsia="zh-CN" w:bidi="ar-SA"/>
        </w:rPr>
      </w:pPr>
      <w:r>
        <w:rPr>
          <w:rFonts w:hint="eastAsia" w:ascii="仿宋_GB2312" w:hAnsi="宋体" w:eastAsia="仿宋_GB2312" w:cs="Times New Roman"/>
          <w:color w:val="auto"/>
          <w:kern w:val="2"/>
          <w:sz w:val="32"/>
          <w:szCs w:val="32"/>
          <w:highlight w:val="none"/>
          <w:lang w:val="en-US" w:eastAsia="zh-CN" w:bidi="ar-SA"/>
        </w:rPr>
        <w:t>我单位2024年政府采购预算14万元，同比减少14万元，下降50％；减少原因是一般公共预算拨款减少</w:t>
      </w:r>
      <w:r>
        <w:rPr>
          <w:rFonts w:hint="eastAsia" w:cs="Times New Roman"/>
          <w:color w:val="auto"/>
          <w:kern w:val="2"/>
          <w:sz w:val="32"/>
          <w:szCs w:val="32"/>
          <w:highlight w:val="none"/>
          <w:lang w:val="en-US" w:eastAsia="zh-CN" w:bidi="ar-SA"/>
        </w:rPr>
        <w:t>，采购项目的经费相应减少</w:t>
      </w:r>
      <w:r>
        <w:rPr>
          <w:rFonts w:hint="eastAsia" w:ascii="仿宋_GB2312" w:hAnsi="宋体" w:eastAsia="仿宋_GB2312" w:cs="Times New Roman"/>
          <w:color w:val="auto"/>
          <w:kern w:val="2"/>
          <w:sz w:val="32"/>
          <w:szCs w:val="32"/>
          <w:highlight w:val="none"/>
          <w:lang w:val="en-US" w:eastAsia="zh-CN" w:bidi="ar-SA"/>
        </w:rPr>
        <w:t>。政府集中采购预算14万元，占政府采购预算100％，同比减少14万元，下降50％；分散采购预算0万元，占政府采购预算0％，同比增加0万元，增长0％。</w:t>
      </w:r>
    </w:p>
    <w:p>
      <w:pPr>
        <w:pStyle w:val="7"/>
        <w:numPr>
          <w:ilvl w:val="0"/>
          <w:numId w:val="0"/>
        </w:numPr>
        <w:ind w:firstLine="640" w:firstLineChars="200"/>
        <w:rPr>
          <w:rFonts w:hint="eastAsia" w:ascii="仿宋_GB2312" w:hAnsi="宋体" w:eastAsia="仿宋_GB2312" w:cs="Times New Roman"/>
          <w:kern w:val="2"/>
          <w:sz w:val="32"/>
          <w:szCs w:val="32"/>
          <w:highlight w:val="none"/>
          <w:lang w:val="en-US" w:eastAsia="zh-CN" w:bidi="ar-SA"/>
        </w:rPr>
      </w:pPr>
      <w:r>
        <w:rPr>
          <w:rFonts w:hint="eastAsia" w:ascii="仿宋_GB2312" w:hAnsi="宋体" w:eastAsia="仿宋_GB2312" w:cs="Times New Roman"/>
          <w:color w:val="auto"/>
          <w:kern w:val="2"/>
          <w:sz w:val="32"/>
          <w:szCs w:val="32"/>
          <w:highlight w:val="none"/>
          <w:lang w:val="en-US" w:eastAsia="zh-CN" w:bidi="ar-SA"/>
        </w:rPr>
        <w:t>货物采购0万元，占政府采购预算0％；工程采购0万元，占政府采购预算0％；服务采购14万元，占政府采购预算100％。采购限额标准以上，200万元以下的货物和服务采购项目、400万元以下的工程采购项目，适宜由中小企业提供的采购预算10万元，面向中小企业预留金额10万元；超过200万元的货物和服务采购项目、超过400万元的工程采购项目中适宜由中小企业提供的采购预算0万元，预留0万元专门面向中小企业采购，其中：预留0万元面向小微企业采购。</w:t>
      </w:r>
    </w:p>
    <w:p>
      <w:pPr>
        <w:pStyle w:val="7"/>
        <w:ind w:firstLine="640" w:firstLineChars="200"/>
        <w:rPr>
          <w:rFonts w:hint="eastAsia" w:ascii="仿宋_GB2312" w:hAnsi="宋体" w:eastAsia="仿宋_GB2312" w:cs="Times New Roman"/>
          <w:kern w:val="2"/>
          <w:sz w:val="32"/>
          <w:szCs w:val="32"/>
          <w:highlight w:val="none"/>
          <w:lang w:val="en-US" w:eastAsia="zh-CN" w:bidi="ar-SA"/>
        </w:rPr>
      </w:pPr>
      <w:r>
        <w:rPr>
          <w:rFonts w:hint="eastAsia" w:ascii="仿宋_GB2312" w:hAnsi="宋体" w:eastAsia="仿宋_GB2312" w:cs="Times New Roman"/>
          <w:kern w:val="2"/>
          <w:sz w:val="32"/>
          <w:szCs w:val="32"/>
          <w:highlight w:val="none"/>
          <w:lang w:val="en-US" w:eastAsia="zh-CN" w:bidi="ar-SA"/>
        </w:rPr>
        <w:t>（三）国有资产占用情况说明</w:t>
      </w:r>
    </w:p>
    <w:p>
      <w:pPr>
        <w:pStyle w:val="7"/>
        <w:ind w:firstLine="640" w:firstLineChars="200"/>
        <w:rPr>
          <w:rFonts w:hint="eastAsia" w:ascii="仿宋_GB2312" w:hAnsi="宋体" w:eastAsia="仿宋_GB2312" w:cs="Times New Roman"/>
          <w:kern w:val="2"/>
          <w:sz w:val="32"/>
          <w:szCs w:val="32"/>
          <w:highlight w:val="none"/>
          <w:lang w:val="en-US" w:eastAsia="zh-CN" w:bidi="ar-SA"/>
        </w:rPr>
      </w:pPr>
      <w:r>
        <w:rPr>
          <w:rFonts w:hint="eastAsia" w:ascii="仿宋_GB2312" w:hAnsi="宋体" w:eastAsia="仿宋_GB2312" w:cs="Times New Roman"/>
          <w:kern w:val="2"/>
          <w:sz w:val="32"/>
          <w:szCs w:val="32"/>
          <w:highlight w:val="none"/>
          <w:lang w:val="en-US" w:eastAsia="zh-CN" w:bidi="ar-SA"/>
        </w:rPr>
        <w:t>本</w:t>
      </w:r>
      <w:r>
        <w:rPr>
          <w:rFonts w:hint="eastAsia" w:cs="Times New Roman"/>
          <w:kern w:val="2"/>
          <w:sz w:val="32"/>
          <w:szCs w:val="32"/>
          <w:highlight w:val="none"/>
          <w:lang w:val="en-US" w:eastAsia="zh-CN" w:bidi="ar-SA"/>
        </w:rPr>
        <w:t>单位</w:t>
      </w:r>
      <w:r>
        <w:rPr>
          <w:rFonts w:hint="eastAsia" w:ascii="仿宋_GB2312" w:hAnsi="宋体" w:eastAsia="仿宋_GB2312" w:cs="Times New Roman"/>
          <w:kern w:val="2"/>
          <w:sz w:val="32"/>
          <w:szCs w:val="32"/>
          <w:highlight w:val="none"/>
          <w:lang w:val="en-US" w:eastAsia="zh-CN" w:bidi="ar-SA"/>
        </w:rPr>
        <w:t>公务用车编制数</w:t>
      </w:r>
      <w:r>
        <w:rPr>
          <w:rFonts w:hint="eastAsia" w:cs="Times New Roman"/>
          <w:kern w:val="2"/>
          <w:sz w:val="32"/>
          <w:szCs w:val="32"/>
          <w:highlight w:val="none"/>
          <w:lang w:val="en-US" w:eastAsia="zh-CN" w:bidi="ar-SA"/>
        </w:rPr>
        <w:t>2</w:t>
      </w:r>
      <w:r>
        <w:rPr>
          <w:rFonts w:hint="eastAsia" w:ascii="仿宋_GB2312" w:hAnsi="宋体" w:eastAsia="仿宋_GB2312" w:cs="Times New Roman"/>
          <w:kern w:val="2"/>
          <w:sz w:val="32"/>
          <w:szCs w:val="32"/>
          <w:highlight w:val="none"/>
          <w:lang w:val="en-US" w:eastAsia="zh-CN" w:bidi="ar-SA"/>
        </w:rPr>
        <w:t>个，实有公务用车</w:t>
      </w:r>
      <w:r>
        <w:rPr>
          <w:rFonts w:hint="eastAsia" w:cs="Times New Roman"/>
          <w:kern w:val="2"/>
          <w:sz w:val="32"/>
          <w:szCs w:val="32"/>
          <w:highlight w:val="none"/>
          <w:lang w:val="en-US" w:eastAsia="zh-CN" w:bidi="ar-SA"/>
        </w:rPr>
        <w:t>1</w:t>
      </w:r>
      <w:r>
        <w:rPr>
          <w:rFonts w:hint="eastAsia" w:ascii="仿宋_GB2312" w:hAnsi="宋体" w:eastAsia="仿宋_GB2312" w:cs="Times New Roman"/>
          <w:kern w:val="2"/>
          <w:sz w:val="32"/>
          <w:szCs w:val="32"/>
          <w:highlight w:val="none"/>
          <w:lang w:val="en-US" w:eastAsia="zh-CN" w:bidi="ar-SA"/>
        </w:rPr>
        <w:t>辆，全部为一般业务用车。</w:t>
      </w:r>
    </w:p>
    <w:p>
      <w:pPr>
        <w:pStyle w:val="7"/>
        <w:ind w:firstLine="640" w:firstLineChars="200"/>
        <w:rPr>
          <w:rFonts w:hint="eastAsia" w:ascii="仿宋_GB2312" w:hAnsi="宋体" w:eastAsia="仿宋_GB2312" w:cs="Times New Roman"/>
          <w:kern w:val="2"/>
          <w:sz w:val="32"/>
          <w:szCs w:val="32"/>
          <w:highlight w:val="none"/>
          <w:lang w:val="en-US" w:eastAsia="zh-CN" w:bidi="ar-SA"/>
        </w:rPr>
      </w:pPr>
      <w:r>
        <w:rPr>
          <w:rFonts w:hint="eastAsia" w:ascii="仿宋_GB2312" w:hAnsi="宋体" w:eastAsia="仿宋_GB2312" w:cs="Times New Roman"/>
          <w:kern w:val="2"/>
          <w:sz w:val="32"/>
          <w:szCs w:val="32"/>
          <w:highlight w:val="none"/>
          <w:lang w:val="en-US" w:eastAsia="zh-CN" w:bidi="ar-SA"/>
        </w:rPr>
        <w:t>（四）重点项目预算绩效目标等情况说明</w:t>
      </w:r>
    </w:p>
    <w:p>
      <w:pPr>
        <w:pStyle w:val="7"/>
        <w:ind w:firstLine="640" w:firstLineChars="200"/>
        <w:rPr>
          <w:rFonts w:hint="eastAsia" w:ascii="仿宋_GB2312" w:hAnsi="宋体" w:eastAsia="仿宋_GB2312" w:cs="Times New Roman"/>
          <w:kern w:val="2"/>
          <w:sz w:val="32"/>
          <w:szCs w:val="32"/>
          <w:highlight w:val="none"/>
          <w:lang w:val="en-US" w:eastAsia="zh-CN" w:bidi="ar-SA"/>
        </w:rPr>
      </w:pPr>
      <w:r>
        <w:rPr>
          <w:rFonts w:hint="eastAsia" w:ascii="仿宋_GB2312" w:hAnsi="宋体" w:eastAsia="仿宋_GB2312" w:cs="Times New Roman"/>
          <w:kern w:val="2"/>
          <w:sz w:val="32"/>
          <w:szCs w:val="32"/>
          <w:highlight w:val="none"/>
          <w:lang w:val="en-US" w:eastAsia="zh-CN" w:bidi="ar-SA"/>
        </w:rPr>
        <w:t>1.我单位2024年所有项目支出全面实施绩效目标管理，项目</w:t>
      </w:r>
      <w:r>
        <w:rPr>
          <w:rFonts w:hint="eastAsia" w:cs="Times New Roman"/>
          <w:kern w:val="2"/>
          <w:sz w:val="32"/>
          <w:szCs w:val="32"/>
          <w:highlight w:val="none"/>
          <w:lang w:val="en-US" w:eastAsia="zh-CN" w:bidi="ar-SA"/>
        </w:rPr>
        <w:t>11</w:t>
      </w:r>
      <w:r>
        <w:rPr>
          <w:rFonts w:hint="eastAsia" w:ascii="仿宋_GB2312" w:hAnsi="宋体" w:eastAsia="仿宋_GB2312" w:cs="Times New Roman"/>
          <w:kern w:val="2"/>
          <w:sz w:val="32"/>
          <w:szCs w:val="32"/>
          <w:highlight w:val="none"/>
          <w:lang w:val="en-US" w:eastAsia="zh-CN" w:bidi="ar-SA"/>
        </w:rPr>
        <w:t>个，预算资金</w:t>
      </w:r>
      <w:r>
        <w:rPr>
          <w:rFonts w:hint="eastAsia" w:hAnsi="宋体" w:eastAsia="宋体" w:cs="宋体"/>
          <w:snapToGrid w:val="0"/>
          <w:color w:val="auto"/>
          <w:kern w:val="0"/>
          <w:sz w:val="32"/>
          <w:szCs w:val="32"/>
          <w:highlight w:val="none"/>
          <w:lang w:val="en-US" w:eastAsia="zh-CN"/>
        </w:rPr>
        <w:t>3,665.71</w:t>
      </w:r>
      <w:r>
        <w:rPr>
          <w:rFonts w:hint="eastAsia" w:ascii="仿宋_GB2312" w:hAnsi="宋体" w:eastAsia="仿宋_GB2312" w:cs="Times New Roman"/>
          <w:kern w:val="2"/>
          <w:sz w:val="32"/>
          <w:szCs w:val="32"/>
          <w:highlight w:val="none"/>
          <w:lang w:val="en-US" w:eastAsia="zh-CN" w:bidi="ar-SA"/>
        </w:rPr>
        <w:t>万元，绩效目标情况详见预算公开表</w:t>
      </w:r>
      <w:r>
        <w:rPr>
          <w:rFonts w:hint="eastAsia" w:cs="Times New Roman"/>
          <w:kern w:val="2"/>
          <w:sz w:val="32"/>
          <w:szCs w:val="32"/>
          <w:highlight w:val="none"/>
          <w:lang w:val="en-US" w:eastAsia="zh-CN" w:bidi="ar-SA"/>
        </w:rPr>
        <w:t>表十</w:t>
      </w:r>
      <w:r>
        <w:rPr>
          <w:rFonts w:hint="eastAsia" w:ascii="仿宋_GB2312" w:hAnsi="宋体" w:eastAsia="仿宋_GB2312" w:cs="Times New Roman"/>
          <w:kern w:val="2"/>
          <w:sz w:val="32"/>
          <w:szCs w:val="32"/>
          <w:highlight w:val="none"/>
          <w:lang w:val="en-US" w:eastAsia="zh-CN" w:bidi="ar-SA"/>
        </w:rPr>
        <w:t>《</w:t>
      </w:r>
      <w:r>
        <w:rPr>
          <w:rFonts w:hint="eastAsia" w:cs="Times New Roman"/>
          <w:kern w:val="2"/>
          <w:sz w:val="32"/>
          <w:szCs w:val="32"/>
          <w:highlight w:val="none"/>
          <w:lang w:val="en-US" w:eastAsia="zh-CN" w:bidi="ar-SA"/>
        </w:rPr>
        <w:t>单位</w:t>
      </w:r>
      <w:r>
        <w:rPr>
          <w:rFonts w:hint="eastAsia" w:ascii="仿宋_GB2312" w:hAnsi="宋体" w:eastAsia="仿宋_GB2312" w:cs="Times New Roman"/>
          <w:kern w:val="2"/>
          <w:sz w:val="32"/>
          <w:szCs w:val="32"/>
          <w:highlight w:val="none"/>
          <w:lang w:val="en-US" w:eastAsia="zh-CN" w:bidi="ar-SA"/>
        </w:rPr>
        <w:t>项目绩效目标公开表》。</w:t>
      </w:r>
    </w:p>
    <w:p>
      <w:pPr>
        <w:pStyle w:val="7"/>
        <w:ind w:firstLine="640" w:firstLineChars="200"/>
        <w:rPr>
          <w:rFonts w:hint="eastAsia" w:ascii="仿宋_GB2312" w:hAnsi="宋体" w:eastAsia="仿宋_GB2312" w:cs="Times New Roman"/>
          <w:kern w:val="2"/>
          <w:sz w:val="32"/>
          <w:szCs w:val="32"/>
          <w:highlight w:val="none"/>
          <w:lang w:val="en-US" w:eastAsia="zh-CN" w:bidi="ar-SA"/>
        </w:rPr>
      </w:pPr>
      <w:r>
        <w:rPr>
          <w:rFonts w:hint="eastAsia" w:ascii="仿宋_GB2312" w:hAnsi="宋体" w:eastAsia="仿宋_GB2312" w:cs="Times New Roman"/>
          <w:kern w:val="2"/>
          <w:sz w:val="32"/>
          <w:szCs w:val="32"/>
          <w:highlight w:val="none"/>
          <w:lang w:val="en-US" w:eastAsia="zh-CN" w:bidi="ar-SA"/>
        </w:rPr>
        <w:t>2.重点项目预算绩效目标说明。</w:t>
      </w:r>
    </w:p>
    <w:p>
      <w:pPr>
        <w:pStyle w:val="7"/>
        <w:ind w:firstLine="640" w:firstLineChars="200"/>
        <w:rPr>
          <w:rFonts w:hint="eastAsia" w:ascii="仿宋_GB2312" w:hAnsi="宋体" w:eastAsia="仿宋_GB2312" w:cs="Times New Roman"/>
          <w:kern w:val="2"/>
          <w:sz w:val="32"/>
          <w:szCs w:val="32"/>
          <w:highlight w:val="none"/>
          <w:lang w:val="en-US" w:eastAsia="zh-CN" w:bidi="ar-SA"/>
        </w:rPr>
      </w:pPr>
      <w:r>
        <w:rPr>
          <w:rFonts w:hint="eastAsia" w:ascii="仿宋_GB2312" w:hAnsi="宋体" w:eastAsia="仿宋_GB2312" w:cs="Times New Roman"/>
          <w:kern w:val="2"/>
          <w:sz w:val="32"/>
          <w:szCs w:val="32"/>
          <w:highlight w:val="none"/>
          <w:lang w:val="en-US" w:eastAsia="zh-CN" w:bidi="ar-SA"/>
        </w:rPr>
        <w:t>重点项目</w:t>
      </w:r>
      <w:r>
        <w:rPr>
          <w:rFonts w:hint="eastAsia" w:cs="Times New Roman"/>
          <w:kern w:val="2"/>
          <w:sz w:val="32"/>
          <w:szCs w:val="32"/>
          <w:highlight w:val="none"/>
          <w:lang w:val="en-US" w:eastAsia="zh-CN" w:bidi="ar-SA"/>
        </w:rPr>
        <w:t>一</w:t>
      </w:r>
      <w:r>
        <w:rPr>
          <w:rFonts w:hint="eastAsia" w:ascii="仿宋_GB2312" w:hAnsi="宋体" w:eastAsia="仿宋_GB2312" w:cs="Times New Roman"/>
          <w:kern w:val="2"/>
          <w:sz w:val="32"/>
          <w:szCs w:val="32"/>
          <w:highlight w:val="none"/>
          <w:lang w:val="en-US" w:eastAsia="zh-CN" w:bidi="ar-SA"/>
        </w:rPr>
        <w:t>：项目名称中等职业学校免学费(中央资金)，预算资金</w:t>
      </w:r>
      <w:r>
        <w:rPr>
          <w:rFonts w:hint="eastAsia" w:cs="Times New Roman"/>
          <w:kern w:val="2"/>
          <w:sz w:val="32"/>
          <w:szCs w:val="32"/>
          <w:highlight w:val="none"/>
          <w:lang w:val="en-US" w:eastAsia="zh-CN" w:bidi="ar-SA"/>
        </w:rPr>
        <w:t>556.44</w:t>
      </w:r>
      <w:r>
        <w:rPr>
          <w:rFonts w:hint="eastAsia" w:ascii="仿宋_GB2312" w:hAnsi="宋体" w:eastAsia="仿宋_GB2312" w:cs="Times New Roman"/>
          <w:kern w:val="2"/>
          <w:sz w:val="32"/>
          <w:szCs w:val="32"/>
          <w:highlight w:val="none"/>
          <w:lang w:val="en-US" w:eastAsia="zh-CN" w:bidi="ar-SA"/>
        </w:rPr>
        <w:t>万元，2024年度绩效目标为保证我校本年度绩效工资和职工社保等的支出，</w:t>
      </w:r>
      <w:r>
        <w:rPr>
          <w:rFonts w:hint="eastAsia" w:cs="Times New Roman"/>
          <w:kern w:val="2"/>
          <w:sz w:val="32"/>
          <w:szCs w:val="32"/>
          <w:highlight w:val="none"/>
          <w:lang w:val="en-US" w:eastAsia="zh-CN" w:bidi="ar-SA"/>
        </w:rPr>
        <w:t>有效</w:t>
      </w:r>
      <w:r>
        <w:rPr>
          <w:rFonts w:hint="eastAsia" w:ascii="仿宋_GB2312" w:hAnsi="宋体" w:eastAsia="仿宋_GB2312" w:cs="Times New Roman"/>
          <w:kern w:val="2"/>
          <w:sz w:val="32"/>
          <w:szCs w:val="32"/>
          <w:highlight w:val="none"/>
          <w:lang w:val="en-US" w:eastAsia="zh-CN" w:bidi="ar-SA"/>
        </w:rPr>
        <w:t>调动教职工的积极性</w:t>
      </w:r>
      <w:r>
        <w:rPr>
          <w:rFonts w:hint="eastAsia" w:cs="Times New Roman"/>
          <w:kern w:val="2"/>
          <w:sz w:val="32"/>
          <w:szCs w:val="32"/>
          <w:highlight w:val="none"/>
          <w:lang w:val="en-US" w:eastAsia="zh-CN" w:bidi="ar-SA"/>
        </w:rPr>
        <w:t>和爱岗敬业精神</w:t>
      </w:r>
      <w:r>
        <w:rPr>
          <w:rFonts w:hint="eastAsia" w:ascii="仿宋_GB2312" w:hAnsi="宋体" w:eastAsia="仿宋_GB2312" w:cs="Times New Roman"/>
          <w:kern w:val="2"/>
          <w:sz w:val="32"/>
          <w:szCs w:val="32"/>
          <w:highlight w:val="none"/>
          <w:lang w:val="en-US" w:eastAsia="zh-CN" w:bidi="ar-SA"/>
        </w:rPr>
        <w:t>，提升工作效率，推动学校各项教育事业顺利发展</w:t>
      </w:r>
      <w:r>
        <w:rPr>
          <w:rFonts w:hint="eastAsia" w:cs="Times New Roman"/>
          <w:kern w:val="2"/>
          <w:sz w:val="32"/>
          <w:szCs w:val="32"/>
          <w:highlight w:val="none"/>
          <w:lang w:val="en-US" w:eastAsia="zh-CN" w:bidi="ar-SA"/>
        </w:rPr>
        <w:t>，</w:t>
      </w:r>
      <w:r>
        <w:rPr>
          <w:rFonts w:hint="eastAsia" w:ascii="仿宋_GB2312" w:hAnsi="宋体" w:eastAsia="仿宋_GB2312" w:cs="Times New Roman"/>
          <w:kern w:val="2"/>
          <w:sz w:val="32"/>
          <w:szCs w:val="32"/>
          <w:highlight w:val="none"/>
          <w:lang w:val="en-US" w:eastAsia="zh-CN" w:bidi="ar-SA"/>
        </w:rPr>
        <w:t>设1条数量指标：支付职工绩效工资及缴纳社会保障人数≥</w:t>
      </w:r>
      <w:r>
        <w:rPr>
          <w:rFonts w:hint="eastAsia" w:cs="Times New Roman"/>
          <w:kern w:val="2"/>
          <w:sz w:val="32"/>
          <w:szCs w:val="32"/>
          <w:highlight w:val="none"/>
          <w:lang w:val="en-US" w:eastAsia="zh-CN" w:bidi="ar-SA"/>
        </w:rPr>
        <w:t>36</w:t>
      </w:r>
      <w:r>
        <w:rPr>
          <w:rFonts w:hint="eastAsia" w:ascii="仿宋_GB2312" w:hAnsi="宋体" w:eastAsia="仿宋_GB2312" w:cs="Times New Roman"/>
          <w:kern w:val="2"/>
          <w:sz w:val="32"/>
          <w:szCs w:val="32"/>
          <w:highlight w:val="none"/>
          <w:lang w:val="en-US" w:eastAsia="zh-CN" w:bidi="ar-SA"/>
        </w:rPr>
        <w:t>人；设1条质量指标：按时支付绩效工资及缴纳社会保障费=100%；设1条时效指标：每月发放工资时间每月25日前；设2条成本指标：成本指标1绩效工资支出≤</w:t>
      </w:r>
      <w:r>
        <w:rPr>
          <w:rFonts w:hint="eastAsia" w:cs="Times New Roman"/>
          <w:kern w:val="2"/>
          <w:sz w:val="32"/>
          <w:szCs w:val="32"/>
          <w:highlight w:val="none"/>
          <w:lang w:val="en-US" w:eastAsia="zh-CN" w:bidi="ar-SA"/>
        </w:rPr>
        <w:t>82.62</w:t>
      </w:r>
      <w:r>
        <w:rPr>
          <w:rFonts w:hint="eastAsia" w:ascii="仿宋_GB2312" w:hAnsi="宋体" w:eastAsia="仿宋_GB2312" w:cs="Times New Roman"/>
          <w:kern w:val="2"/>
          <w:sz w:val="32"/>
          <w:szCs w:val="32"/>
          <w:highlight w:val="none"/>
          <w:lang w:val="en-US" w:eastAsia="zh-CN" w:bidi="ar-SA"/>
        </w:rPr>
        <w:t>万元，成本指标2其他工资福利等支出≤</w:t>
      </w:r>
      <w:r>
        <w:rPr>
          <w:rFonts w:hint="eastAsia" w:cs="Times New Roman"/>
          <w:kern w:val="2"/>
          <w:sz w:val="32"/>
          <w:szCs w:val="32"/>
          <w:highlight w:val="none"/>
          <w:lang w:val="en-US" w:eastAsia="zh-CN" w:bidi="ar-SA"/>
        </w:rPr>
        <w:t>473.82</w:t>
      </w:r>
      <w:r>
        <w:rPr>
          <w:rFonts w:hint="eastAsia" w:ascii="仿宋_GB2312" w:hAnsi="宋体" w:eastAsia="仿宋_GB2312" w:cs="Times New Roman"/>
          <w:kern w:val="2"/>
          <w:sz w:val="32"/>
          <w:szCs w:val="32"/>
          <w:highlight w:val="none"/>
          <w:lang w:val="en-US" w:eastAsia="zh-CN" w:bidi="ar-SA"/>
        </w:rPr>
        <w:t>万元；设1条社会效益指标：</w:t>
      </w:r>
      <w:r>
        <w:rPr>
          <w:rFonts w:hint="eastAsia" w:cs="Times New Roman"/>
          <w:kern w:val="2"/>
          <w:sz w:val="32"/>
          <w:szCs w:val="32"/>
          <w:highlight w:val="none"/>
          <w:lang w:val="en-US" w:eastAsia="zh-CN" w:bidi="ar-SA"/>
        </w:rPr>
        <w:t>教师</w:t>
      </w:r>
      <w:r>
        <w:rPr>
          <w:rFonts w:hint="eastAsia" w:ascii="仿宋_GB2312" w:hAnsi="宋体" w:eastAsia="仿宋_GB2312" w:cs="Times New Roman"/>
          <w:kern w:val="2"/>
          <w:sz w:val="32"/>
          <w:szCs w:val="32"/>
          <w:highlight w:val="none"/>
          <w:lang w:val="en-US" w:eastAsia="zh-CN" w:bidi="ar-SA"/>
        </w:rPr>
        <w:t>稳定率≥90%；设1条满意度指标：在职职工满意度≥9</w:t>
      </w:r>
      <w:r>
        <w:rPr>
          <w:rFonts w:hint="eastAsia" w:cs="Times New Roman"/>
          <w:kern w:val="2"/>
          <w:sz w:val="32"/>
          <w:szCs w:val="32"/>
          <w:highlight w:val="none"/>
          <w:lang w:val="en-US" w:eastAsia="zh-CN" w:bidi="ar-SA"/>
        </w:rPr>
        <w:t>8</w:t>
      </w:r>
      <w:r>
        <w:rPr>
          <w:rFonts w:hint="eastAsia" w:ascii="仿宋_GB2312" w:hAnsi="宋体" w:eastAsia="仿宋_GB2312" w:cs="Times New Roman"/>
          <w:kern w:val="2"/>
          <w:sz w:val="32"/>
          <w:szCs w:val="32"/>
          <w:highlight w:val="none"/>
          <w:lang w:val="en-US" w:eastAsia="zh-CN" w:bidi="ar-SA"/>
        </w:rPr>
        <w:t>%。</w:t>
      </w:r>
    </w:p>
    <w:p>
      <w:pPr>
        <w:tabs>
          <w:tab w:val="center" w:pos="4475"/>
        </w:tabs>
        <w:spacing w:line="600" w:lineRule="exact"/>
        <w:ind w:firstLine="640" w:firstLineChars="200"/>
        <w:rPr>
          <w:rFonts w:hint="eastAsia" w:ascii="黑体" w:eastAsia="黑体"/>
          <w:szCs w:val="32"/>
        </w:rPr>
      </w:pPr>
      <w:r>
        <w:rPr>
          <w:rFonts w:hint="eastAsia" w:ascii="黑体" w:eastAsia="黑体"/>
          <w:szCs w:val="32"/>
        </w:rPr>
        <w:t>第三部分：名词解释</w:t>
      </w:r>
    </w:p>
    <w:p>
      <w:pPr>
        <w:pStyle w:val="7"/>
        <w:ind w:firstLine="640" w:firstLineChars="200"/>
        <w:rPr>
          <w:rFonts w:hint="eastAsia" w:ascii="仿宋_GB2312" w:hAnsi="宋体" w:eastAsia="仿宋_GB2312" w:cs="Times New Roman"/>
          <w:kern w:val="2"/>
          <w:sz w:val="32"/>
          <w:szCs w:val="32"/>
          <w:highlight w:val="none"/>
          <w:lang w:val="en-US" w:eastAsia="zh-CN" w:bidi="ar-SA"/>
        </w:rPr>
      </w:pPr>
      <w:r>
        <w:rPr>
          <w:rFonts w:hint="eastAsia" w:ascii="仿宋_GB2312" w:hAnsi="宋体" w:eastAsia="仿宋_GB2312" w:cs="Times New Roman"/>
          <w:kern w:val="2"/>
          <w:sz w:val="32"/>
          <w:szCs w:val="32"/>
          <w:highlight w:val="none"/>
          <w:lang w:val="en-US" w:eastAsia="zh-CN" w:bidi="ar-SA"/>
        </w:rPr>
        <w:t>一、财政拨款收入：指自治区财政部门当年拨付的资金。</w:t>
      </w:r>
    </w:p>
    <w:p>
      <w:pPr>
        <w:pStyle w:val="7"/>
        <w:ind w:firstLine="640" w:firstLineChars="200"/>
        <w:rPr>
          <w:rFonts w:hint="eastAsia" w:ascii="仿宋_GB2312" w:hAnsi="宋体" w:eastAsia="仿宋_GB2312" w:cs="Times New Roman"/>
          <w:kern w:val="2"/>
          <w:sz w:val="32"/>
          <w:szCs w:val="32"/>
          <w:highlight w:val="none"/>
          <w:lang w:val="en-US" w:eastAsia="zh-CN" w:bidi="ar-SA"/>
        </w:rPr>
      </w:pPr>
      <w:r>
        <w:rPr>
          <w:rFonts w:hint="eastAsia" w:ascii="仿宋_GB2312" w:hAnsi="宋体" w:eastAsia="仿宋_GB2312" w:cs="Times New Roman"/>
          <w:kern w:val="2"/>
          <w:sz w:val="32"/>
          <w:szCs w:val="32"/>
          <w:highlight w:val="none"/>
          <w:lang w:val="en-US" w:eastAsia="zh-CN" w:bidi="ar-SA"/>
        </w:rPr>
        <w:t>二、事业收入：指事业单位开展专业业务活动及辅助活动所取得的收入。</w:t>
      </w:r>
    </w:p>
    <w:p>
      <w:pPr>
        <w:pStyle w:val="7"/>
        <w:ind w:firstLine="640" w:firstLineChars="200"/>
        <w:rPr>
          <w:rFonts w:hint="eastAsia" w:ascii="仿宋_GB2312" w:hAnsi="宋体" w:eastAsia="仿宋_GB2312" w:cs="Times New Roman"/>
          <w:kern w:val="2"/>
          <w:sz w:val="32"/>
          <w:szCs w:val="32"/>
          <w:highlight w:val="none"/>
          <w:lang w:val="en-US" w:eastAsia="zh-CN" w:bidi="ar-SA"/>
        </w:rPr>
      </w:pPr>
      <w:r>
        <w:rPr>
          <w:rFonts w:hint="eastAsia" w:ascii="仿宋_GB2312" w:hAnsi="宋体" w:eastAsia="仿宋_GB2312" w:cs="Times New Roman"/>
          <w:kern w:val="2"/>
          <w:sz w:val="32"/>
          <w:szCs w:val="32"/>
          <w:highlight w:val="none"/>
          <w:lang w:val="en-US" w:eastAsia="zh-CN" w:bidi="ar-SA"/>
        </w:rPr>
        <w:t>三、经营收入：指事业单位在专业业务活动及其辅助活动之外开展非独立核算经营活动取得的收入。</w:t>
      </w:r>
    </w:p>
    <w:p>
      <w:pPr>
        <w:pStyle w:val="7"/>
        <w:ind w:firstLine="640" w:firstLineChars="200"/>
        <w:rPr>
          <w:rFonts w:hint="eastAsia" w:ascii="仿宋_GB2312" w:hAnsi="宋体" w:eastAsia="仿宋_GB2312" w:cs="Times New Roman"/>
          <w:kern w:val="2"/>
          <w:sz w:val="32"/>
          <w:szCs w:val="32"/>
          <w:highlight w:val="none"/>
          <w:lang w:val="en-US" w:eastAsia="zh-CN" w:bidi="ar-SA"/>
        </w:rPr>
      </w:pPr>
      <w:r>
        <w:rPr>
          <w:rFonts w:hint="eastAsia" w:ascii="仿宋_GB2312" w:hAnsi="宋体" w:eastAsia="仿宋_GB2312" w:cs="Times New Roman"/>
          <w:kern w:val="2"/>
          <w:sz w:val="32"/>
          <w:szCs w:val="32"/>
          <w:highlight w:val="none"/>
          <w:lang w:val="en-US" w:eastAsia="zh-CN" w:bidi="ar-SA"/>
        </w:rPr>
        <w:t>四、其他收入：指除上述“财政拨款收入”、“事业收入”、“经营收入”等以外的收入。</w:t>
      </w:r>
    </w:p>
    <w:p>
      <w:pPr>
        <w:pStyle w:val="7"/>
        <w:ind w:firstLine="640" w:firstLineChars="200"/>
        <w:rPr>
          <w:rFonts w:hint="eastAsia" w:ascii="仿宋_GB2312" w:hAnsi="宋体" w:eastAsia="仿宋_GB2312" w:cs="Times New Roman"/>
          <w:kern w:val="2"/>
          <w:sz w:val="32"/>
          <w:szCs w:val="32"/>
          <w:highlight w:val="none"/>
          <w:lang w:val="en-US" w:eastAsia="zh-CN" w:bidi="ar-SA"/>
        </w:rPr>
      </w:pPr>
      <w:r>
        <w:rPr>
          <w:rFonts w:hint="eastAsia" w:ascii="仿宋_GB2312" w:hAnsi="宋体" w:eastAsia="仿宋_GB2312" w:cs="Times New Roman"/>
          <w:kern w:val="2"/>
          <w:sz w:val="32"/>
          <w:szCs w:val="32"/>
          <w:highlight w:val="none"/>
          <w:lang w:val="en-US" w:eastAsia="zh-CN" w:bidi="ar-SA"/>
        </w:rPr>
        <w:t>五、年初结转和结余：指以前年度尚未完成、结转到本年，按有关规定继续使用的资金。</w:t>
      </w:r>
    </w:p>
    <w:p>
      <w:pPr>
        <w:pStyle w:val="7"/>
        <w:ind w:firstLine="640" w:firstLineChars="200"/>
        <w:rPr>
          <w:rFonts w:hint="eastAsia" w:ascii="仿宋_GB2312" w:hAnsi="宋体" w:eastAsia="仿宋_GB2312" w:cs="Times New Roman"/>
          <w:kern w:val="2"/>
          <w:sz w:val="32"/>
          <w:szCs w:val="32"/>
          <w:highlight w:val="none"/>
          <w:lang w:val="en-US" w:eastAsia="zh-CN" w:bidi="ar-SA"/>
        </w:rPr>
      </w:pPr>
      <w:r>
        <w:rPr>
          <w:rFonts w:hint="eastAsia" w:ascii="仿宋_GB2312" w:hAnsi="宋体" w:eastAsia="仿宋_GB2312" w:cs="Times New Roman"/>
          <w:kern w:val="2"/>
          <w:sz w:val="32"/>
          <w:szCs w:val="32"/>
          <w:highlight w:val="none"/>
          <w:lang w:val="en-US" w:eastAsia="zh-CN" w:bidi="ar-SA"/>
        </w:rPr>
        <w:t>六、年末结转和结余：指本年度或以前年度预算安排，因客观条件发生变化无法按原计划实施，需要延迟到以后年度按有关规定继续使用的资金。</w:t>
      </w:r>
    </w:p>
    <w:p>
      <w:pPr>
        <w:pStyle w:val="7"/>
        <w:ind w:firstLine="640" w:firstLineChars="200"/>
        <w:rPr>
          <w:rFonts w:hint="eastAsia" w:ascii="仿宋_GB2312" w:hAnsi="宋体" w:eastAsia="仿宋_GB2312" w:cs="Times New Roman"/>
          <w:kern w:val="2"/>
          <w:sz w:val="32"/>
          <w:szCs w:val="32"/>
          <w:highlight w:val="none"/>
          <w:lang w:val="en-US" w:eastAsia="zh-CN" w:bidi="ar-SA"/>
        </w:rPr>
      </w:pPr>
      <w:r>
        <w:rPr>
          <w:rFonts w:hint="eastAsia" w:ascii="仿宋_GB2312" w:hAnsi="宋体" w:eastAsia="仿宋_GB2312" w:cs="Times New Roman"/>
          <w:kern w:val="2"/>
          <w:sz w:val="32"/>
          <w:szCs w:val="32"/>
          <w:highlight w:val="none"/>
          <w:lang w:val="en-US" w:eastAsia="zh-CN" w:bidi="ar-SA"/>
        </w:rPr>
        <w:t xml:space="preserve">七、基本支出：指为保障机构正常运转、完成日常工作任务而发生的人员支出和公用支出。 </w:t>
      </w:r>
    </w:p>
    <w:p>
      <w:pPr>
        <w:pStyle w:val="7"/>
        <w:ind w:firstLine="640" w:firstLineChars="200"/>
        <w:rPr>
          <w:rFonts w:hint="eastAsia" w:ascii="仿宋_GB2312" w:hAnsi="宋体" w:eastAsia="仿宋_GB2312" w:cs="Times New Roman"/>
          <w:kern w:val="2"/>
          <w:sz w:val="32"/>
          <w:szCs w:val="32"/>
          <w:highlight w:val="none"/>
          <w:lang w:val="en-US" w:eastAsia="zh-CN" w:bidi="ar-SA"/>
        </w:rPr>
      </w:pPr>
      <w:r>
        <w:rPr>
          <w:rFonts w:hint="eastAsia" w:ascii="仿宋_GB2312" w:hAnsi="宋体" w:eastAsia="仿宋_GB2312" w:cs="Times New Roman"/>
          <w:kern w:val="2"/>
          <w:sz w:val="32"/>
          <w:szCs w:val="32"/>
          <w:highlight w:val="none"/>
          <w:lang w:val="en-US" w:eastAsia="zh-CN" w:bidi="ar-SA"/>
        </w:rPr>
        <w:t>八、项目支出：指在基本支出之外为完成特定行政任务和事业发展目标所发生的支出。</w:t>
      </w:r>
    </w:p>
    <w:p>
      <w:pPr>
        <w:pStyle w:val="7"/>
        <w:ind w:firstLine="640" w:firstLineChars="200"/>
        <w:rPr>
          <w:rFonts w:hint="eastAsia" w:ascii="仿宋_GB2312" w:hAnsi="宋体" w:eastAsia="仿宋_GB2312" w:cs="Times New Roman"/>
          <w:kern w:val="2"/>
          <w:sz w:val="32"/>
          <w:szCs w:val="32"/>
          <w:highlight w:val="none"/>
          <w:lang w:val="en-US" w:eastAsia="zh-CN" w:bidi="ar-SA"/>
        </w:rPr>
      </w:pPr>
      <w:r>
        <w:rPr>
          <w:rFonts w:hint="eastAsia" w:ascii="仿宋_GB2312" w:hAnsi="宋体" w:eastAsia="仿宋_GB2312" w:cs="Times New Roman"/>
          <w:kern w:val="2"/>
          <w:sz w:val="32"/>
          <w:szCs w:val="32"/>
          <w:highlight w:val="none"/>
          <w:lang w:val="en-US" w:eastAsia="zh-CN" w:bidi="ar-SA"/>
        </w:rPr>
        <w:t>九、教育支出：反映政府教育支出情况，包括教育管理事务支出、普通教育支出、成人教育等方面支出；</w:t>
      </w:r>
    </w:p>
    <w:p>
      <w:pPr>
        <w:pStyle w:val="7"/>
        <w:ind w:firstLine="640" w:firstLineChars="200"/>
        <w:rPr>
          <w:rFonts w:hint="eastAsia" w:ascii="仿宋_GB2312" w:hAnsi="宋体" w:eastAsia="仿宋_GB2312" w:cs="Times New Roman"/>
          <w:kern w:val="2"/>
          <w:sz w:val="32"/>
          <w:szCs w:val="32"/>
          <w:highlight w:val="none"/>
          <w:lang w:val="en-US" w:eastAsia="zh-CN" w:bidi="ar-SA"/>
        </w:rPr>
      </w:pPr>
      <w:r>
        <w:rPr>
          <w:rFonts w:hint="eastAsia" w:ascii="仿宋_GB2312" w:hAnsi="宋体" w:eastAsia="仿宋_GB2312" w:cs="Times New Roman"/>
          <w:kern w:val="2"/>
          <w:sz w:val="32"/>
          <w:szCs w:val="32"/>
          <w:highlight w:val="none"/>
          <w:lang w:val="en-US" w:eastAsia="zh-CN" w:bidi="ar-SA"/>
        </w:rPr>
        <w:t>十、社会保障和就业支出：反映政府在社会保障和就业方面的支出，我校主要是由单位缴纳的基本养老保险费支出和职业年金等支出；</w:t>
      </w:r>
    </w:p>
    <w:p>
      <w:pPr>
        <w:pStyle w:val="7"/>
        <w:ind w:firstLine="640" w:firstLineChars="200"/>
        <w:rPr>
          <w:rFonts w:hint="eastAsia" w:ascii="仿宋_GB2312" w:hAnsi="宋体" w:eastAsia="仿宋_GB2312" w:cs="Times New Roman"/>
          <w:kern w:val="2"/>
          <w:sz w:val="32"/>
          <w:szCs w:val="32"/>
          <w:highlight w:val="none"/>
          <w:lang w:val="en-US" w:eastAsia="zh-CN" w:bidi="ar-SA"/>
        </w:rPr>
      </w:pPr>
      <w:r>
        <w:rPr>
          <w:rFonts w:hint="eastAsia" w:ascii="仿宋_GB2312" w:hAnsi="宋体" w:eastAsia="仿宋_GB2312" w:cs="Times New Roman"/>
          <w:kern w:val="2"/>
          <w:sz w:val="32"/>
          <w:szCs w:val="32"/>
          <w:highlight w:val="none"/>
          <w:lang w:val="en-US" w:eastAsia="zh-CN" w:bidi="ar-SA"/>
        </w:rPr>
        <w:t>十一、 医疗卫生与计划生育支出：反映政府医疗卫生与计划生育管理方面的支出，我校主要为基本医疗保险缴费经费；</w:t>
      </w:r>
    </w:p>
    <w:p>
      <w:pPr>
        <w:pStyle w:val="7"/>
        <w:ind w:firstLine="640" w:firstLineChars="200"/>
        <w:rPr>
          <w:rFonts w:hint="eastAsia" w:ascii="仿宋_GB2312" w:hAnsi="宋体" w:eastAsia="仿宋_GB2312" w:cs="Times New Roman"/>
          <w:kern w:val="2"/>
          <w:sz w:val="32"/>
          <w:szCs w:val="32"/>
          <w:highlight w:val="none"/>
          <w:lang w:val="en-US" w:eastAsia="zh-CN" w:bidi="ar-SA"/>
        </w:rPr>
      </w:pPr>
      <w:r>
        <w:rPr>
          <w:rFonts w:hint="eastAsia" w:ascii="仿宋_GB2312" w:hAnsi="宋体" w:eastAsia="仿宋_GB2312" w:cs="Times New Roman"/>
          <w:kern w:val="2"/>
          <w:sz w:val="32"/>
          <w:szCs w:val="32"/>
          <w:highlight w:val="none"/>
          <w:lang w:val="en-US" w:eastAsia="zh-CN" w:bidi="ar-SA"/>
        </w:rPr>
        <w:t>十二、住房保障支出：是指单位按人力资源和社会保障部、财政部规定的基本工资和津贴补贴以及规定比例为职工缴纳的住房公积金；</w:t>
      </w:r>
    </w:p>
    <w:p>
      <w:pPr>
        <w:pStyle w:val="7"/>
        <w:ind w:firstLine="640" w:firstLineChars="200"/>
        <w:rPr>
          <w:rFonts w:hint="eastAsia" w:ascii="仿宋_GB2312" w:hAnsi="宋体" w:eastAsia="仿宋_GB2312" w:cs="Times New Roman"/>
          <w:kern w:val="2"/>
          <w:sz w:val="32"/>
          <w:szCs w:val="32"/>
          <w:highlight w:val="none"/>
          <w:lang w:val="en-US" w:eastAsia="zh-CN" w:bidi="ar-SA"/>
        </w:rPr>
      </w:pPr>
      <w:r>
        <w:rPr>
          <w:rFonts w:hint="eastAsia" w:ascii="仿宋_GB2312" w:hAnsi="宋体" w:eastAsia="仿宋_GB2312" w:cs="Times New Roman"/>
          <w:kern w:val="2"/>
          <w:sz w:val="32"/>
          <w:szCs w:val="32"/>
          <w:highlight w:val="none"/>
          <w:lang w:val="en-US" w:eastAsia="zh-CN" w:bidi="ar-SA"/>
        </w:rPr>
        <w:t>十三、商品和服务支出：反映单位为满足日常工作需要购买商品和劳务的支出。具体包括办公费、水费、电费、邮电费、咨询费、印刷费、差旅费、工会经费、会议费、培训费、物业管理费、维修（护）费、租赁费等；</w:t>
      </w:r>
    </w:p>
    <w:p>
      <w:pPr>
        <w:pStyle w:val="7"/>
        <w:ind w:firstLine="640" w:firstLineChars="200"/>
        <w:rPr>
          <w:rFonts w:hint="eastAsia" w:ascii="仿宋_GB2312" w:hAnsi="宋体" w:eastAsia="仿宋_GB2312" w:cs="Times New Roman"/>
          <w:kern w:val="2"/>
          <w:sz w:val="32"/>
          <w:szCs w:val="32"/>
          <w:highlight w:val="none"/>
          <w:lang w:val="en-US" w:eastAsia="zh-CN" w:bidi="ar-SA"/>
        </w:rPr>
      </w:pPr>
      <w:r>
        <w:rPr>
          <w:rFonts w:hint="eastAsia" w:ascii="仿宋_GB2312" w:hAnsi="宋体" w:eastAsia="仿宋_GB2312" w:cs="Times New Roman"/>
          <w:kern w:val="2"/>
          <w:sz w:val="32"/>
          <w:szCs w:val="32"/>
          <w:highlight w:val="none"/>
          <w:lang w:val="en-US" w:eastAsia="zh-CN" w:bidi="ar-SA"/>
        </w:rPr>
        <w:t>十四、对个人和家庭的补助支出：反映政府对个人和家庭的无偿性补助支出。具体包括离休费、退休费、退职（役）费、抚恤和生活补助、医疗费、住房公积金、助学金、其他等；</w:t>
      </w:r>
    </w:p>
    <w:p>
      <w:pPr>
        <w:pStyle w:val="7"/>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宋体" w:eastAsia="仿宋_GB2312" w:cs="Times New Roman"/>
          <w:kern w:val="2"/>
          <w:sz w:val="32"/>
          <w:szCs w:val="32"/>
          <w:highlight w:val="none"/>
          <w:lang w:val="en-US" w:eastAsia="zh-CN" w:bidi="ar-SA"/>
        </w:rPr>
      </w:pPr>
      <w:r>
        <w:rPr>
          <w:rFonts w:hint="eastAsia" w:ascii="仿宋_GB2312" w:hAnsi="宋体" w:eastAsia="仿宋_GB2312" w:cs="Times New Roman"/>
          <w:kern w:val="2"/>
          <w:sz w:val="32"/>
          <w:szCs w:val="32"/>
          <w:highlight w:val="none"/>
          <w:lang w:val="en-US" w:eastAsia="zh-CN" w:bidi="ar-SA"/>
        </w:rPr>
        <w:t>十五、“三公”经费支出：纳入财政预算管理的“三公”经费，是部门用财政拨款安排的因公出国（境）费、公务用车购置及运行费和公务接待费。其中：因公出国（境）费反映单位公务出国（境）的国际旅费、国外城市交通费、住宿费、伙食费、培训费、公杂费等支出；公务用车购置及运行费反映单位公务用车车辆购置支出（含车辆购置税）及租用费、燃料费、维修费、过路过桥费、保险费、安全奖励费等支出；公务接待费反映单位按规定开支的各类公务接待（含外宾接待）支出；</w:t>
      </w:r>
    </w:p>
    <w:p>
      <w:pPr>
        <w:keepNext w:val="0"/>
        <w:keepLines w:val="0"/>
        <w:pageBreakBefore w:val="0"/>
        <w:widowControl w:val="0"/>
        <w:tabs>
          <w:tab w:val="center" w:pos="4475"/>
        </w:tabs>
        <w:kinsoku/>
        <w:wordWrap/>
        <w:overflowPunct/>
        <w:topLinePunct w:val="0"/>
        <w:autoSpaceDE/>
        <w:autoSpaceDN/>
        <w:bidi w:val="0"/>
        <w:adjustRightInd/>
        <w:snapToGrid/>
        <w:spacing w:line="500" w:lineRule="exact"/>
        <w:ind w:firstLine="640" w:firstLineChars="200"/>
        <w:textAlignment w:val="auto"/>
        <w:rPr>
          <w:rFonts w:hint="eastAsia"/>
          <w:lang w:eastAsia="zh-CN"/>
        </w:rPr>
      </w:pPr>
      <w:r>
        <w:rPr>
          <w:rFonts w:hint="eastAsia" w:ascii="黑体" w:eastAsia="黑体"/>
          <w:szCs w:val="32"/>
        </w:rPr>
        <w:t>第四部分：</w:t>
      </w:r>
      <w:r>
        <w:rPr>
          <w:rFonts w:hint="eastAsia" w:ascii="黑体" w:hAnsi="宋体" w:eastAsia="黑体"/>
          <w:szCs w:val="32"/>
          <w:lang w:eastAsia="zh-CN"/>
        </w:rPr>
        <w:t>广西建筑材料工业技工学校</w:t>
      </w:r>
      <w:r>
        <w:rPr>
          <w:rFonts w:hint="eastAsia" w:ascii="黑体" w:hAnsi="宋体" w:eastAsia="黑体"/>
          <w:szCs w:val="32"/>
        </w:rPr>
        <w:t>202</w:t>
      </w:r>
      <w:r>
        <w:rPr>
          <w:rFonts w:hint="eastAsia" w:ascii="黑体" w:hAnsi="宋体" w:eastAsia="黑体"/>
          <w:szCs w:val="32"/>
          <w:lang w:val="en-US" w:eastAsia="zh-CN"/>
        </w:rPr>
        <w:t>4</w:t>
      </w:r>
      <w:r>
        <w:rPr>
          <w:rFonts w:hint="eastAsia" w:ascii="黑体" w:hAnsi="宋体" w:eastAsia="黑体"/>
          <w:szCs w:val="32"/>
        </w:rPr>
        <w:t>年</w:t>
      </w:r>
      <w:r>
        <w:rPr>
          <w:rFonts w:hint="eastAsia" w:ascii="黑体" w:eastAsia="黑体"/>
          <w:szCs w:val="32"/>
        </w:rPr>
        <w:t>预算公开报表</w:t>
      </w:r>
    </w:p>
    <w:p>
      <w:pPr>
        <w:pStyle w:val="7"/>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宋体" w:eastAsia="仿宋_GB2312" w:cs="Times New Roman"/>
          <w:kern w:val="2"/>
          <w:sz w:val="32"/>
          <w:szCs w:val="32"/>
          <w:highlight w:val="none"/>
          <w:lang w:val="en-US" w:eastAsia="zh-CN" w:bidi="ar-SA"/>
        </w:rPr>
      </w:pPr>
      <w:r>
        <w:rPr>
          <w:rFonts w:hint="eastAsia" w:ascii="仿宋_GB2312" w:hAnsi="宋体" w:eastAsia="仿宋_GB2312" w:cs="Times New Roman"/>
          <w:kern w:val="2"/>
          <w:sz w:val="32"/>
          <w:szCs w:val="32"/>
          <w:highlight w:val="none"/>
          <w:lang w:val="en-US" w:eastAsia="zh-CN" w:bidi="ar-SA"/>
        </w:rPr>
        <w:t>表一、单位收支总体情况表</w:t>
      </w:r>
    </w:p>
    <w:p>
      <w:pPr>
        <w:pStyle w:val="7"/>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宋体" w:eastAsia="仿宋_GB2312" w:cs="Times New Roman"/>
          <w:kern w:val="2"/>
          <w:sz w:val="32"/>
          <w:szCs w:val="32"/>
          <w:highlight w:val="none"/>
          <w:lang w:val="en-US" w:eastAsia="zh-CN" w:bidi="ar-SA"/>
        </w:rPr>
      </w:pPr>
      <w:r>
        <w:rPr>
          <w:rFonts w:hint="eastAsia" w:ascii="仿宋_GB2312" w:hAnsi="宋体" w:eastAsia="仿宋_GB2312" w:cs="Times New Roman"/>
          <w:kern w:val="2"/>
          <w:sz w:val="32"/>
          <w:szCs w:val="32"/>
          <w:highlight w:val="none"/>
          <w:lang w:val="en-US" w:eastAsia="zh-CN" w:bidi="ar-SA"/>
        </w:rPr>
        <w:t>表二、单位收入总体情况表</w:t>
      </w:r>
    </w:p>
    <w:p>
      <w:pPr>
        <w:pStyle w:val="7"/>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宋体" w:eastAsia="仿宋_GB2312" w:cs="Times New Roman"/>
          <w:kern w:val="2"/>
          <w:sz w:val="32"/>
          <w:szCs w:val="32"/>
          <w:highlight w:val="none"/>
          <w:lang w:val="en-US" w:eastAsia="zh-CN" w:bidi="ar-SA"/>
        </w:rPr>
      </w:pPr>
      <w:r>
        <w:rPr>
          <w:rFonts w:hint="eastAsia" w:ascii="仿宋_GB2312" w:hAnsi="宋体" w:eastAsia="仿宋_GB2312" w:cs="Times New Roman"/>
          <w:kern w:val="2"/>
          <w:sz w:val="32"/>
          <w:szCs w:val="32"/>
          <w:highlight w:val="none"/>
          <w:lang w:val="en-US" w:eastAsia="zh-CN" w:bidi="ar-SA"/>
        </w:rPr>
        <w:t>表三、单位支出总体情况表</w:t>
      </w:r>
    </w:p>
    <w:p>
      <w:pPr>
        <w:pStyle w:val="7"/>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宋体" w:eastAsia="仿宋_GB2312" w:cs="Times New Roman"/>
          <w:kern w:val="2"/>
          <w:sz w:val="32"/>
          <w:szCs w:val="32"/>
          <w:highlight w:val="none"/>
          <w:lang w:val="en-US" w:eastAsia="zh-CN" w:bidi="ar-SA"/>
        </w:rPr>
      </w:pPr>
      <w:r>
        <w:rPr>
          <w:rFonts w:hint="eastAsia" w:ascii="仿宋_GB2312" w:hAnsi="宋体" w:eastAsia="仿宋_GB2312" w:cs="Times New Roman"/>
          <w:kern w:val="2"/>
          <w:sz w:val="32"/>
          <w:szCs w:val="32"/>
          <w:highlight w:val="none"/>
          <w:lang w:val="en-US" w:eastAsia="zh-CN" w:bidi="ar-SA"/>
        </w:rPr>
        <w:t>表四、财政拨款收支总体情况表</w:t>
      </w:r>
    </w:p>
    <w:p>
      <w:pPr>
        <w:pStyle w:val="7"/>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宋体" w:eastAsia="仿宋_GB2312" w:cs="Times New Roman"/>
          <w:kern w:val="2"/>
          <w:sz w:val="32"/>
          <w:szCs w:val="32"/>
          <w:highlight w:val="none"/>
          <w:lang w:val="en-US" w:eastAsia="zh-CN" w:bidi="ar-SA"/>
        </w:rPr>
      </w:pPr>
      <w:r>
        <w:rPr>
          <w:rFonts w:hint="eastAsia" w:ascii="仿宋_GB2312" w:hAnsi="宋体" w:eastAsia="仿宋_GB2312" w:cs="Times New Roman"/>
          <w:kern w:val="2"/>
          <w:sz w:val="32"/>
          <w:szCs w:val="32"/>
          <w:highlight w:val="none"/>
          <w:lang w:val="en-US" w:eastAsia="zh-CN" w:bidi="ar-SA"/>
        </w:rPr>
        <w:t>表五、一般公共预算支出情况表</w:t>
      </w:r>
    </w:p>
    <w:p>
      <w:pPr>
        <w:pStyle w:val="7"/>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宋体" w:eastAsia="仿宋_GB2312" w:cs="Times New Roman"/>
          <w:kern w:val="2"/>
          <w:sz w:val="32"/>
          <w:szCs w:val="32"/>
          <w:highlight w:val="none"/>
          <w:lang w:val="en-US" w:eastAsia="zh-CN" w:bidi="ar-SA"/>
        </w:rPr>
      </w:pPr>
      <w:r>
        <w:rPr>
          <w:rFonts w:hint="eastAsia" w:ascii="仿宋_GB2312" w:hAnsi="宋体" w:eastAsia="仿宋_GB2312" w:cs="Times New Roman"/>
          <w:kern w:val="2"/>
          <w:sz w:val="32"/>
          <w:szCs w:val="32"/>
          <w:highlight w:val="none"/>
          <w:lang w:val="en-US" w:eastAsia="zh-CN" w:bidi="ar-SA"/>
        </w:rPr>
        <w:t>表六、一般公共预算基本支出情况表</w:t>
      </w:r>
    </w:p>
    <w:p>
      <w:pPr>
        <w:pStyle w:val="7"/>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宋体" w:eastAsia="仿宋_GB2312" w:cs="Times New Roman"/>
          <w:kern w:val="2"/>
          <w:sz w:val="32"/>
          <w:szCs w:val="32"/>
          <w:highlight w:val="none"/>
          <w:lang w:val="en-US" w:eastAsia="zh-CN" w:bidi="ar-SA"/>
        </w:rPr>
      </w:pPr>
      <w:r>
        <w:rPr>
          <w:rFonts w:hint="eastAsia" w:ascii="仿宋_GB2312" w:hAnsi="宋体" w:eastAsia="仿宋_GB2312" w:cs="Times New Roman"/>
          <w:kern w:val="2"/>
          <w:sz w:val="32"/>
          <w:szCs w:val="32"/>
          <w:highlight w:val="none"/>
          <w:lang w:val="en-US" w:eastAsia="zh-CN" w:bidi="ar-SA"/>
        </w:rPr>
        <w:t>表七、财政拨款“三公”经费、会议费和培训费支出情况表</w:t>
      </w:r>
    </w:p>
    <w:p>
      <w:pPr>
        <w:pStyle w:val="7"/>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宋体" w:eastAsia="仿宋_GB2312" w:cs="Times New Roman"/>
          <w:kern w:val="2"/>
          <w:sz w:val="32"/>
          <w:szCs w:val="32"/>
          <w:highlight w:val="none"/>
          <w:lang w:val="en-US" w:eastAsia="zh-CN" w:bidi="ar-SA"/>
        </w:rPr>
      </w:pPr>
      <w:r>
        <w:rPr>
          <w:rFonts w:hint="eastAsia" w:ascii="仿宋_GB2312" w:hAnsi="宋体" w:eastAsia="仿宋_GB2312" w:cs="Times New Roman"/>
          <w:kern w:val="2"/>
          <w:sz w:val="32"/>
          <w:szCs w:val="32"/>
          <w:highlight w:val="none"/>
          <w:lang w:val="en-US" w:eastAsia="zh-CN" w:bidi="ar-SA"/>
        </w:rPr>
        <w:t>表八、政府性基金预算支出情况表</w:t>
      </w:r>
    </w:p>
    <w:p>
      <w:pPr>
        <w:pStyle w:val="7"/>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宋体" w:eastAsia="仿宋_GB2312" w:cs="Times New Roman"/>
          <w:kern w:val="2"/>
          <w:sz w:val="32"/>
          <w:szCs w:val="32"/>
          <w:highlight w:val="none"/>
          <w:lang w:val="en-US" w:eastAsia="zh-CN" w:bidi="ar-SA"/>
        </w:rPr>
      </w:pPr>
      <w:r>
        <w:rPr>
          <w:rFonts w:hint="eastAsia" w:ascii="仿宋_GB2312" w:hAnsi="宋体" w:eastAsia="仿宋_GB2312" w:cs="Times New Roman"/>
          <w:kern w:val="2"/>
          <w:sz w:val="32"/>
          <w:szCs w:val="32"/>
          <w:highlight w:val="none"/>
          <w:lang w:val="en-US" w:eastAsia="zh-CN" w:bidi="ar-SA"/>
        </w:rPr>
        <w:t>表九、国有资本经营预算支出情况表</w:t>
      </w:r>
    </w:p>
    <w:p>
      <w:pPr>
        <w:pStyle w:val="7"/>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宋体" w:eastAsia="仿宋_GB2312" w:cs="Times New Roman"/>
          <w:kern w:val="2"/>
          <w:sz w:val="32"/>
          <w:szCs w:val="32"/>
          <w:highlight w:val="none"/>
          <w:lang w:val="en-US" w:eastAsia="zh-CN" w:bidi="ar-SA"/>
        </w:rPr>
      </w:pPr>
      <w:r>
        <w:rPr>
          <w:rFonts w:hint="eastAsia" w:ascii="仿宋_GB2312" w:hAnsi="宋体" w:eastAsia="仿宋_GB2312" w:cs="Times New Roman"/>
          <w:kern w:val="2"/>
          <w:sz w:val="32"/>
          <w:szCs w:val="32"/>
          <w:highlight w:val="none"/>
          <w:lang w:val="en-US" w:eastAsia="zh-CN" w:bidi="ar-SA"/>
        </w:rPr>
        <w:t>表十、</w:t>
      </w:r>
      <w:r>
        <w:rPr>
          <w:rFonts w:hint="eastAsia" w:cs="Times New Roman"/>
          <w:kern w:val="2"/>
          <w:sz w:val="32"/>
          <w:szCs w:val="32"/>
          <w:highlight w:val="none"/>
          <w:lang w:val="en-US" w:eastAsia="zh-CN" w:bidi="ar-SA"/>
        </w:rPr>
        <w:t>单位</w:t>
      </w:r>
      <w:r>
        <w:rPr>
          <w:rFonts w:hint="eastAsia" w:ascii="仿宋_GB2312" w:hAnsi="宋体" w:eastAsia="仿宋_GB2312" w:cs="Times New Roman"/>
          <w:kern w:val="2"/>
          <w:sz w:val="32"/>
          <w:szCs w:val="32"/>
          <w:highlight w:val="none"/>
          <w:lang w:val="en-US" w:eastAsia="zh-CN" w:bidi="ar-SA"/>
        </w:rPr>
        <w:t>项目绩效目标公开表</w:t>
      </w:r>
    </w:p>
    <w:p>
      <w:pPr>
        <w:pStyle w:val="7"/>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仿宋_GB2312" w:hAnsi="宋体" w:eastAsia="仿宋_GB2312" w:cs="Times New Roman"/>
          <w:kern w:val="2"/>
          <w:sz w:val="32"/>
          <w:szCs w:val="32"/>
          <w:highlight w:val="none"/>
          <w:lang w:val="en-US" w:eastAsia="zh-CN" w:bidi="ar-SA"/>
        </w:rPr>
      </w:pPr>
      <w:r>
        <w:rPr>
          <w:rFonts w:hint="eastAsia" w:cs="Times New Roman"/>
          <w:kern w:val="2"/>
          <w:sz w:val="32"/>
          <w:szCs w:val="32"/>
          <w:highlight w:val="none"/>
          <w:lang w:val="en-US" w:eastAsia="zh-CN" w:bidi="ar-SA"/>
        </w:rPr>
        <w:t>表十一、单位对下转移支付项目绩效目标公开表</w:t>
      </w:r>
    </w:p>
    <w:p>
      <w:pPr>
        <w:pStyle w:val="7"/>
        <w:ind w:firstLine="640" w:firstLineChars="200"/>
        <w:rPr>
          <w:rFonts w:hint="eastAsia" w:ascii="仿宋_GB2312" w:hAnsi="宋体" w:eastAsia="仿宋_GB2312" w:cs="Times New Roman"/>
          <w:kern w:val="2"/>
          <w:sz w:val="32"/>
          <w:szCs w:val="32"/>
          <w:highlight w:val="none"/>
          <w:lang w:val="en-US" w:eastAsia="zh-CN" w:bidi="ar-SA"/>
        </w:rPr>
      </w:pPr>
      <w:r>
        <w:rPr>
          <w:rFonts w:hint="eastAsia" w:ascii="仿宋_GB2312" w:hAnsi="宋体" w:eastAsia="仿宋_GB2312" w:cs="Times New Roman"/>
          <w:kern w:val="2"/>
          <w:sz w:val="32"/>
          <w:szCs w:val="32"/>
          <w:highlight w:val="none"/>
          <w:lang w:val="en-US" w:eastAsia="zh-CN" w:bidi="ar-SA"/>
        </w:rPr>
        <w:t>上述报表详见附件2：</w:t>
      </w:r>
      <w:r>
        <w:rPr>
          <w:rFonts w:hint="eastAsia" w:cs="Times New Roman"/>
          <w:kern w:val="2"/>
          <w:sz w:val="32"/>
          <w:szCs w:val="32"/>
          <w:highlight w:val="none"/>
          <w:lang w:val="en-US" w:eastAsia="zh-CN" w:bidi="ar-SA"/>
        </w:rPr>
        <w:t>广西建筑材料工业技工学校</w:t>
      </w:r>
      <w:r>
        <w:rPr>
          <w:rFonts w:hint="eastAsia" w:ascii="仿宋_GB2312" w:hAnsi="宋体" w:eastAsia="仿宋_GB2312" w:cs="Times New Roman"/>
          <w:kern w:val="2"/>
          <w:sz w:val="32"/>
          <w:szCs w:val="32"/>
          <w:highlight w:val="none"/>
          <w:lang w:val="en-US" w:eastAsia="zh-CN" w:bidi="ar-SA"/>
        </w:rPr>
        <w:t>2024年</w:t>
      </w:r>
      <w:r>
        <w:rPr>
          <w:rFonts w:hint="eastAsia" w:cs="Times New Roman"/>
          <w:kern w:val="2"/>
          <w:sz w:val="32"/>
          <w:szCs w:val="32"/>
          <w:highlight w:val="none"/>
          <w:lang w:val="en-US" w:eastAsia="zh-CN" w:bidi="ar-SA"/>
        </w:rPr>
        <w:t>单位</w:t>
      </w:r>
      <w:r>
        <w:rPr>
          <w:rFonts w:hint="eastAsia" w:ascii="仿宋_GB2312" w:hAnsi="宋体" w:eastAsia="仿宋_GB2312" w:cs="Times New Roman"/>
          <w:kern w:val="2"/>
          <w:sz w:val="32"/>
          <w:szCs w:val="32"/>
          <w:highlight w:val="none"/>
          <w:lang w:val="en-US" w:eastAsia="zh-CN" w:bidi="ar-SA"/>
        </w:rPr>
        <w:t>预算</w:t>
      </w:r>
      <w:r>
        <w:rPr>
          <w:rFonts w:hint="eastAsia" w:cs="Times New Roman"/>
          <w:kern w:val="2"/>
          <w:sz w:val="32"/>
          <w:szCs w:val="32"/>
          <w:highlight w:val="none"/>
          <w:lang w:val="en-US" w:eastAsia="zh-CN" w:bidi="ar-SA"/>
        </w:rPr>
        <w:t>公开</w:t>
      </w:r>
      <w:r>
        <w:rPr>
          <w:rFonts w:hint="eastAsia" w:ascii="仿宋_GB2312" w:hAnsi="宋体" w:eastAsia="仿宋_GB2312" w:cs="Times New Roman"/>
          <w:kern w:val="2"/>
          <w:sz w:val="32"/>
          <w:szCs w:val="32"/>
          <w:highlight w:val="none"/>
          <w:lang w:val="en-US" w:eastAsia="zh-CN" w:bidi="ar-SA"/>
        </w:rPr>
        <w:t>表。</w:t>
      </w:r>
    </w:p>
    <w:p>
      <w:pPr>
        <w:pStyle w:val="7"/>
        <w:ind w:firstLine="640" w:firstLineChars="200"/>
        <w:rPr>
          <w:rFonts w:hint="eastAsia" w:ascii="仿宋_GB2312" w:hAnsi="宋体" w:eastAsia="仿宋_GB2312" w:cs="Times New Roman"/>
          <w:kern w:val="2"/>
          <w:sz w:val="32"/>
          <w:szCs w:val="32"/>
          <w:highlight w:val="none"/>
          <w:lang w:val="en-US" w:eastAsia="zh-CN" w:bidi="ar-S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altName w:val="Arial Unicode MS"/>
    <w:panose1 w:val="02000000000000000000"/>
    <w:charset w:val="86"/>
    <w:family w:val="auto"/>
    <w:pitch w:val="default"/>
    <w:sig w:usb0="00000000" w:usb1="00000000" w:usb2="00000012"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B9B8C54"/>
    <w:multiLevelType w:val="singleLevel"/>
    <w:tmpl w:val="CB9B8C54"/>
    <w:lvl w:ilvl="0" w:tentative="0">
      <w:start w:val="2"/>
      <w:numFmt w:val="chineseCounting"/>
      <w:suff w:val="nothing"/>
      <w:lvlText w:val="（%1）"/>
      <w:lvlJc w:val="left"/>
      <w:rPr>
        <w:rFonts w:hint="eastAsia"/>
      </w:rPr>
    </w:lvl>
  </w:abstractNum>
  <w:abstractNum w:abstractNumId="1">
    <w:nsid w:val="12D98996"/>
    <w:multiLevelType w:val="singleLevel"/>
    <w:tmpl w:val="12D98996"/>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E1ZjkzMzY3OGQ2MTk2NmE5YmVlMGMwM2RkNjFhMGUifQ=="/>
  </w:docVars>
  <w:rsids>
    <w:rsidRoot w:val="599A0B91"/>
    <w:rsid w:val="00F52A8D"/>
    <w:rsid w:val="014715A6"/>
    <w:rsid w:val="022644A3"/>
    <w:rsid w:val="03CB4164"/>
    <w:rsid w:val="04704737"/>
    <w:rsid w:val="049C7DEF"/>
    <w:rsid w:val="04E84DE3"/>
    <w:rsid w:val="04E90364"/>
    <w:rsid w:val="058663AA"/>
    <w:rsid w:val="05924D4E"/>
    <w:rsid w:val="07452B50"/>
    <w:rsid w:val="078A2181"/>
    <w:rsid w:val="08022FE3"/>
    <w:rsid w:val="08A54D99"/>
    <w:rsid w:val="0B057D70"/>
    <w:rsid w:val="0BEF4CA9"/>
    <w:rsid w:val="0CAB4FC9"/>
    <w:rsid w:val="0CAC061E"/>
    <w:rsid w:val="0F1171DD"/>
    <w:rsid w:val="13D11138"/>
    <w:rsid w:val="16677B31"/>
    <w:rsid w:val="17E53B4D"/>
    <w:rsid w:val="194235E6"/>
    <w:rsid w:val="1A3C0AA5"/>
    <w:rsid w:val="1A76380C"/>
    <w:rsid w:val="1BCA6B98"/>
    <w:rsid w:val="1F1A3993"/>
    <w:rsid w:val="1F5F3A9B"/>
    <w:rsid w:val="22A46395"/>
    <w:rsid w:val="23715B1A"/>
    <w:rsid w:val="23C50EB3"/>
    <w:rsid w:val="24B2466D"/>
    <w:rsid w:val="2813441A"/>
    <w:rsid w:val="28F416F8"/>
    <w:rsid w:val="29634188"/>
    <w:rsid w:val="2B9940B0"/>
    <w:rsid w:val="2BBD2276"/>
    <w:rsid w:val="2DB51678"/>
    <w:rsid w:val="2E6966E5"/>
    <w:rsid w:val="2F2D4B02"/>
    <w:rsid w:val="337E053C"/>
    <w:rsid w:val="33CF0D98"/>
    <w:rsid w:val="35010B9D"/>
    <w:rsid w:val="35FF348B"/>
    <w:rsid w:val="36B83D65"/>
    <w:rsid w:val="37952C2A"/>
    <w:rsid w:val="37EB3CC7"/>
    <w:rsid w:val="3A862225"/>
    <w:rsid w:val="3AC151B3"/>
    <w:rsid w:val="3BE30CA3"/>
    <w:rsid w:val="3BE4693D"/>
    <w:rsid w:val="3C6D0BD6"/>
    <w:rsid w:val="3CE05DC4"/>
    <w:rsid w:val="3D624A2B"/>
    <w:rsid w:val="3F893B6B"/>
    <w:rsid w:val="40503261"/>
    <w:rsid w:val="40F40090"/>
    <w:rsid w:val="41BF069E"/>
    <w:rsid w:val="42C6780A"/>
    <w:rsid w:val="42DA32B5"/>
    <w:rsid w:val="42DF0F29"/>
    <w:rsid w:val="4351275F"/>
    <w:rsid w:val="470D0391"/>
    <w:rsid w:val="4770243A"/>
    <w:rsid w:val="4A6E0EB3"/>
    <w:rsid w:val="4A8E1070"/>
    <w:rsid w:val="4B1B4610"/>
    <w:rsid w:val="4C21550B"/>
    <w:rsid w:val="4C40062D"/>
    <w:rsid w:val="4FA15887"/>
    <w:rsid w:val="4FD73056"/>
    <w:rsid w:val="505B0E86"/>
    <w:rsid w:val="51340035"/>
    <w:rsid w:val="526C3C1B"/>
    <w:rsid w:val="526D0C9F"/>
    <w:rsid w:val="5290573F"/>
    <w:rsid w:val="52D90E94"/>
    <w:rsid w:val="54422A68"/>
    <w:rsid w:val="546450D5"/>
    <w:rsid w:val="548B440F"/>
    <w:rsid w:val="549C486F"/>
    <w:rsid w:val="54B55930"/>
    <w:rsid w:val="56D7393C"/>
    <w:rsid w:val="577C4928"/>
    <w:rsid w:val="59383C44"/>
    <w:rsid w:val="599A0B91"/>
    <w:rsid w:val="59C06909"/>
    <w:rsid w:val="59F667CF"/>
    <w:rsid w:val="5D2E5ADA"/>
    <w:rsid w:val="5EB24909"/>
    <w:rsid w:val="5EC1039D"/>
    <w:rsid w:val="5F536B4A"/>
    <w:rsid w:val="60E8034F"/>
    <w:rsid w:val="614C5486"/>
    <w:rsid w:val="6151253D"/>
    <w:rsid w:val="61972646"/>
    <w:rsid w:val="631657EC"/>
    <w:rsid w:val="634752DC"/>
    <w:rsid w:val="64033FC2"/>
    <w:rsid w:val="672D00F8"/>
    <w:rsid w:val="6747066A"/>
    <w:rsid w:val="679F4002"/>
    <w:rsid w:val="67C223E6"/>
    <w:rsid w:val="68C071FF"/>
    <w:rsid w:val="693357AA"/>
    <w:rsid w:val="69F562FC"/>
    <w:rsid w:val="6B6C1C7C"/>
    <w:rsid w:val="6C723A26"/>
    <w:rsid w:val="6D1A412B"/>
    <w:rsid w:val="732F669B"/>
    <w:rsid w:val="74487DCD"/>
    <w:rsid w:val="764A782F"/>
    <w:rsid w:val="769D4A3B"/>
    <w:rsid w:val="774A70D0"/>
    <w:rsid w:val="78CB7931"/>
    <w:rsid w:val="78E026CC"/>
    <w:rsid w:val="7AC04563"/>
    <w:rsid w:val="7BB87930"/>
    <w:rsid w:val="7C1508DF"/>
    <w:rsid w:val="7F5812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9">
    <w:name w:val="Default Paragraph Font"/>
    <w:autoRedefine/>
    <w:semiHidden/>
    <w:qFormat/>
    <w:uiPriority w:val="0"/>
  </w:style>
  <w:style w:type="table" w:default="1" w:styleId="8">
    <w:name w:val="Normal Table"/>
    <w:autoRedefin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footer"/>
    <w:basedOn w:val="1"/>
    <w:link w:val="11"/>
    <w:autoRedefine/>
    <w:qFormat/>
    <w:uiPriority w:val="0"/>
    <w:pPr>
      <w:tabs>
        <w:tab w:val="center" w:pos="4153"/>
        <w:tab w:val="right" w:pos="8306"/>
      </w:tabs>
      <w:snapToGrid w:val="0"/>
      <w:jc w:val="left"/>
    </w:pPr>
    <w:rPr>
      <w:sz w:val="18"/>
      <w:szCs w:val="18"/>
    </w:rPr>
  </w:style>
  <w:style w:type="paragraph" w:styleId="3">
    <w:name w:val="Body Text"/>
    <w:basedOn w:val="1"/>
    <w:next w:val="4"/>
    <w:autoRedefine/>
    <w:qFormat/>
    <w:uiPriority w:val="0"/>
    <w:pPr>
      <w:spacing w:after="120" w:afterLines="0" w:afterAutospacing="0"/>
    </w:pPr>
    <w:rPr>
      <w:rFonts w:ascii="Calibri" w:hAnsi="Calibri" w:eastAsia="宋体" w:cs="Times New Roman"/>
      <w:sz w:val="21"/>
      <w:szCs w:val="24"/>
    </w:rPr>
  </w:style>
  <w:style w:type="paragraph" w:styleId="4">
    <w:name w:val="Title"/>
    <w:basedOn w:val="1"/>
    <w:next w:val="1"/>
    <w:autoRedefine/>
    <w:qFormat/>
    <w:uiPriority w:val="0"/>
    <w:pPr>
      <w:spacing w:before="60" w:after="120" w:line="560" w:lineRule="exact"/>
      <w:jc w:val="center"/>
      <w:outlineLvl w:val="0"/>
    </w:pPr>
    <w:rPr>
      <w:rFonts w:ascii="Calibri" w:hAnsi="Calibri" w:eastAsia="方正小标宋简体" w:cs="Times New Roman"/>
      <w:bCs/>
      <w:sz w:val="44"/>
      <w:szCs w:val="32"/>
    </w:rPr>
  </w:style>
  <w:style w:type="paragraph" w:styleId="5">
    <w:name w:val="Plain Text"/>
    <w:basedOn w:val="1"/>
    <w:autoRedefine/>
    <w:qFormat/>
    <w:uiPriority w:val="0"/>
    <w:rPr>
      <w:rFonts w:ascii="宋体" w:hAnsi="Courier New" w:cs="Courier New"/>
      <w:szCs w:val="21"/>
    </w:rPr>
  </w:style>
  <w:style w:type="paragraph" w:styleId="6">
    <w:name w:val="Normal (Web)"/>
    <w:basedOn w:val="1"/>
    <w:autoRedefine/>
    <w:qFormat/>
    <w:uiPriority w:val="0"/>
    <w:pPr>
      <w:spacing w:before="0" w:beforeAutospacing="1" w:after="0" w:afterAutospacing="1"/>
      <w:ind w:left="0" w:right="0"/>
      <w:jc w:val="left"/>
    </w:pPr>
    <w:rPr>
      <w:kern w:val="0"/>
      <w:sz w:val="24"/>
      <w:lang w:val="en-US" w:eastAsia="zh-CN" w:bidi="ar"/>
    </w:rPr>
  </w:style>
  <w:style w:type="paragraph" w:styleId="7">
    <w:name w:val="Body Text First Indent"/>
    <w:basedOn w:val="3"/>
    <w:autoRedefine/>
    <w:unhideWhenUsed/>
    <w:qFormat/>
    <w:uiPriority w:val="99"/>
    <w:pPr>
      <w:spacing w:after="0" w:line="580" w:lineRule="exact"/>
      <w:ind w:firstLine="420" w:firstLineChars="100"/>
    </w:pPr>
    <w:rPr>
      <w:rFonts w:ascii="仿宋_GB2312" w:hAnsi="宋体" w:eastAsia="仿宋_GB2312" w:cs="Times New Roman"/>
      <w:sz w:val="32"/>
      <w:szCs w:val="24"/>
    </w:rPr>
  </w:style>
  <w:style w:type="character" w:customStyle="1" w:styleId="10">
    <w:name w:val="fontbig-1"/>
    <w:basedOn w:val="9"/>
    <w:autoRedefine/>
    <w:qFormat/>
    <w:uiPriority w:val="0"/>
  </w:style>
  <w:style w:type="character" w:customStyle="1" w:styleId="11">
    <w:name w:val="页脚 Char"/>
    <w:basedOn w:val="9"/>
    <w:link w:val="2"/>
    <w:autoRedefine/>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3687</Words>
  <Characters>4347</Characters>
  <Lines>0</Lines>
  <Paragraphs>0</Paragraphs>
  <TotalTime>94</TotalTime>
  <ScaleCrop>false</ScaleCrop>
  <LinksUpToDate>false</LinksUpToDate>
  <CharactersWithSpaces>4381</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2023-01-13T07:36:00Z</dcterms:created>
  <dc:creator>Administrator</dc:creator>
  <cp:lastModifiedBy>Administrator</cp:lastModifiedBy>
  <dcterms:modified xsi:type="dcterms:W3CDTF">2024-03-01T07:05:32Z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F82D1E60410B445B820D9E2368E59473</vt:lpwstr>
  </property>
</Properties>
</file>